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2717CE"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ENERO</w:t>
      </w:r>
      <w:r w:rsidR="00BE3688" w:rsidRPr="0088062A">
        <w:rPr>
          <w:rFonts w:ascii="Arial" w:eastAsia="Times New Roman" w:hAnsi="Arial" w:cs="Arial"/>
          <w:b/>
          <w:sz w:val="32"/>
          <w:szCs w:val="24"/>
          <w:lang w:val="es-ES" w:eastAsia="es-ES"/>
        </w:rPr>
        <w:t xml:space="preserve"> </w:t>
      </w:r>
      <w:r>
        <w:rPr>
          <w:rFonts w:ascii="Arial" w:eastAsia="Times New Roman" w:hAnsi="Arial" w:cs="Arial"/>
          <w:b/>
          <w:sz w:val="32"/>
          <w:szCs w:val="24"/>
          <w:lang w:val="es-ES" w:eastAsia="es-ES"/>
        </w:rPr>
        <w:t>2019</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2643B7" w:rsidRPr="0088062A" w:rsidRDefault="002643B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4256"/>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8A2F37" w:rsidP="00622A21">
            <w:pPr>
              <w:spacing w:after="0" w:line="360" w:lineRule="auto"/>
              <w:rPr>
                <w:rFonts w:ascii="Arial" w:eastAsia="Times New Roman" w:hAnsi="Arial" w:cs="Arial"/>
                <w:sz w:val="24"/>
                <w:szCs w:val="24"/>
                <w:lang w:val="es-ES" w:eastAsia="es-ES"/>
              </w:rPr>
            </w:pP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2717CE"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 2019</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w:t>
      </w:r>
      <w:r w:rsidRPr="0088062A">
        <w:rPr>
          <w:rFonts w:ascii="Arial" w:eastAsia="Times New Roman" w:hAnsi="Arial" w:cs="Arial"/>
          <w:color w:val="000000"/>
          <w:sz w:val="24"/>
          <w:szCs w:val="24"/>
          <w:lang w:val="es-ES" w:eastAsia="es-MX"/>
        </w:rPr>
        <w:lastRenderedPageBreak/>
        <w:t>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Las agresiones hacia la mujer tienen repercusiones en el ámbito laboral, social, económico y familiar. Por esto es necesario informar, sensibilizar y prevenir la </w:t>
      </w:r>
      <w:r w:rsidRPr="0088062A">
        <w:rPr>
          <w:rFonts w:ascii="Arial" w:eastAsia="Times New Roman" w:hAnsi="Arial" w:cs="Arial"/>
          <w:color w:val="000000"/>
          <w:sz w:val="24"/>
          <w:szCs w:val="24"/>
          <w:lang w:val="es-ES" w:eastAsia="es-MX"/>
        </w:rPr>
        <w:lastRenderedPageBreak/>
        <w:t>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brindados por las </w:t>
      </w:r>
      <w:r w:rsidRPr="00F343D3">
        <w:rPr>
          <w:rFonts w:ascii="Arial" w:eastAsia="Times New Roman" w:hAnsi="Arial" w:cs="Arial"/>
          <w:sz w:val="24"/>
          <w:szCs w:val="24"/>
          <w:lang w:val="es-ES" w:eastAsia="es-ES"/>
        </w:rPr>
        <w:t>profesionistas</w:t>
      </w:r>
      <w:r w:rsidRPr="0088062A">
        <w:rPr>
          <w:rFonts w:ascii="Arial" w:eastAsia="Times New Roman" w:hAnsi="Arial" w:cs="Arial"/>
          <w:sz w:val="24"/>
          <w:szCs w:val="24"/>
          <w:lang w:val="es-ES" w:eastAsia="es-ES"/>
        </w:rPr>
        <w:t xml:space="preserve"> del Centro para el Desarrollo de las Mujeres (CDM) de San Martin de Hidalgo en el </w:t>
      </w:r>
      <w:r w:rsidR="002717CE">
        <w:rPr>
          <w:rFonts w:ascii="Arial" w:eastAsia="Times New Roman" w:hAnsi="Arial" w:cs="Arial"/>
          <w:sz w:val="24"/>
          <w:szCs w:val="24"/>
          <w:lang w:val="es-ES" w:eastAsia="es-ES"/>
        </w:rPr>
        <w:t>mes de enero 2019</w:t>
      </w:r>
      <w:r w:rsidRPr="0088062A">
        <w:rPr>
          <w:rFonts w:ascii="Arial" w:eastAsia="Times New Roman" w:hAnsi="Arial" w:cs="Arial"/>
          <w:sz w:val="24"/>
          <w:szCs w:val="24"/>
          <w:lang w:val="es-ES" w:eastAsia="es-ES"/>
        </w:rPr>
        <w:t>.</w:t>
      </w:r>
    </w:p>
    <w:p w:rsidR="00C778DA" w:rsidRPr="0088062A" w:rsidRDefault="00C778DA"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Default="008A2F37" w:rsidP="00AF6314">
      <w:pPr>
        <w:spacing w:line="360" w:lineRule="auto"/>
        <w:rPr>
          <w:rFonts w:ascii="Arial" w:eastAsia="Times New Roman" w:hAnsi="Arial" w:cs="Arial"/>
          <w:b/>
          <w:i/>
          <w:sz w:val="24"/>
          <w:szCs w:val="24"/>
          <w:lang w:val="es-ES" w:eastAsia="es-ES"/>
        </w:rPr>
      </w:pPr>
      <w:r w:rsidRPr="007405B2">
        <w:rPr>
          <w:rFonts w:ascii="Arial" w:eastAsia="Times New Roman" w:hAnsi="Arial" w:cs="Arial"/>
          <w:b/>
          <w:i/>
          <w:sz w:val="24"/>
          <w:szCs w:val="24"/>
          <w:lang w:val="es-ES" w:eastAsia="es-ES"/>
        </w:rPr>
        <w:t>INFORME CUALITATIVO</w:t>
      </w:r>
    </w:p>
    <w:p w:rsidR="00143EAD" w:rsidRDefault="00F343D3" w:rsidP="002717CE">
      <w:pPr>
        <w:spacing w:line="360" w:lineRule="auto"/>
        <w:jc w:val="both"/>
        <w:rPr>
          <w:rFonts w:ascii="Arial" w:hAnsi="Arial" w:cs="Arial"/>
          <w:sz w:val="24"/>
          <w:szCs w:val="24"/>
        </w:rPr>
      </w:pPr>
      <w:r>
        <w:tab/>
      </w:r>
      <w:r w:rsidR="00075E1D" w:rsidRPr="00075E1D">
        <w:rPr>
          <w:rFonts w:ascii="Arial" w:hAnsi="Arial" w:cs="Arial"/>
          <w:sz w:val="24"/>
          <w:szCs w:val="24"/>
        </w:rPr>
        <w:t>En lo correspondiente al mes de enero del año en curso el equipo multidisciplinar</w:t>
      </w:r>
      <w:r w:rsidR="005D3074">
        <w:rPr>
          <w:rFonts w:ascii="Arial" w:hAnsi="Arial" w:cs="Arial"/>
          <w:sz w:val="24"/>
          <w:szCs w:val="24"/>
        </w:rPr>
        <w:t>io</w:t>
      </w:r>
      <w:r w:rsidR="00075E1D" w:rsidRPr="00075E1D">
        <w:rPr>
          <w:rFonts w:ascii="Arial" w:hAnsi="Arial" w:cs="Arial"/>
          <w:sz w:val="24"/>
          <w:szCs w:val="24"/>
        </w:rPr>
        <w:t xml:space="preserve"> del CDM en conjunto con la IMM </w:t>
      </w:r>
      <w:r w:rsidR="005D3074">
        <w:rPr>
          <w:rFonts w:ascii="Arial" w:hAnsi="Arial" w:cs="Arial"/>
          <w:sz w:val="24"/>
          <w:szCs w:val="24"/>
        </w:rPr>
        <w:t xml:space="preserve">retomo la impartición de talleres </w:t>
      </w:r>
      <w:r w:rsidR="009475BC">
        <w:rPr>
          <w:rFonts w:ascii="Arial" w:hAnsi="Arial" w:cs="Arial"/>
          <w:sz w:val="24"/>
          <w:szCs w:val="24"/>
        </w:rPr>
        <w:t>que</w:t>
      </w:r>
      <w:r w:rsidR="005D3074">
        <w:rPr>
          <w:rFonts w:ascii="Arial" w:hAnsi="Arial" w:cs="Arial"/>
          <w:sz w:val="24"/>
          <w:szCs w:val="24"/>
        </w:rPr>
        <w:t xml:space="preserve"> en el mes anterior se hab</w:t>
      </w:r>
      <w:r w:rsidR="00143EAD">
        <w:rPr>
          <w:rFonts w:ascii="Arial" w:hAnsi="Arial" w:cs="Arial"/>
          <w:sz w:val="24"/>
          <w:szCs w:val="24"/>
        </w:rPr>
        <w:t>ían agendado.</w:t>
      </w:r>
    </w:p>
    <w:p w:rsidR="00143EAD" w:rsidRDefault="00143EAD" w:rsidP="002717CE">
      <w:pPr>
        <w:spacing w:line="360" w:lineRule="auto"/>
        <w:jc w:val="both"/>
        <w:rPr>
          <w:rFonts w:ascii="Arial" w:hAnsi="Arial" w:cs="Arial"/>
          <w:sz w:val="24"/>
          <w:szCs w:val="24"/>
        </w:rPr>
      </w:pPr>
      <w:r>
        <w:rPr>
          <w:rFonts w:ascii="Arial" w:hAnsi="Arial" w:cs="Arial"/>
          <w:sz w:val="24"/>
          <w:szCs w:val="24"/>
        </w:rPr>
        <w:tab/>
        <w:t xml:space="preserve">Se concretaron un total de 6 talleres impartidos  población abierta específicamente a los grupos de </w:t>
      </w:r>
      <w:r w:rsidR="00D17A31">
        <w:rPr>
          <w:rFonts w:ascii="Arial" w:hAnsi="Arial" w:cs="Arial"/>
          <w:sz w:val="24"/>
          <w:szCs w:val="24"/>
        </w:rPr>
        <w:t>mujeres beneficiarias del programa Prospera, brindando el tema consecuente denominado Prevención de violencia en</w:t>
      </w:r>
      <w:r w:rsidR="00582B9B">
        <w:rPr>
          <w:rFonts w:ascii="Arial" w:hAnsi="Arial" w:cs="Arial"/>
          <w:sz w:val="24"/>
          <w:szCs w:val="24"/>
        </w:rPr>
        <w:t xml:space="preserve"> contra de las mujeres, niñas y niños. </w:t>
      </w:r>
    </w:p>
    <w:p w:rsidR="00582B9B" w:rsidRPr="00075E1D" w:rsidRDefault="00BF11C9" w:rsidP="002717CE">
      <w:pPr>
        <w:spacing w:line="360" w:lineRule="auto"/>
        <w:jc w:val="both"/>
        <w:rPr>
          <w:rFonts w:ascii="Arial" w:hAnsi="Arial" w:cs="Arial"/>
          <w:sz w:val="24"/>
          <w:szCs w:val="24"/>
        </w:rPr>
      </w:pPr>
      <w:r>
        <w:rPr>
          <w:rFonts w:ascii="Arial" w:hAnsi="Arial" w:cs="Arial"/>
          <w:sz w:val="24"/>
          <w:szCs w:val="24"/>
        </w:rPr>
        <w:tab/>
      </w:r>
      <w:r w:rsidR="00582B9B">
        <w:rPr>
          <w:rFonts w:ascii="Arial" w:hAnsi="Arial" w:cs="Arial"/>
          <w:sz w:val="24"/>
          <w:szCs w:val="24"/>
        </w:rPr>
        <w:t xml:space="preserve">De igual manera se </w:t>
      </w:r>
      <w:r>
        <w:rPr>
          <w:rFonts w:ascii="Arial" w:hAnsi="Arial" w:cs="Arial"/>
          <w:sz w:val="24"/>
          <w:szCs w:val="24"/>
        </w:rPr>
        <w:t>ejecutó</w:t>
      </w:r>
      <w:r w:rsidR="00582B9B">
        <w:rPr>
          <w:rFonts w:ascii="Arial" w:hAnsi="Arial" w:cs="Arial"/>
          <w:sz w:val="24"/>
          <w:szCs w:val="24"/>
        </w:rPr>
        <w:t xml:space="preserve"> a la par el cronograma de activida</w:t>
      </w:r>
      <w:r>
        <w:rPr>
          <w:rFonts w:ascii="Arial" w:hAnsi="Arial" w:cs="Arial"/>
          <w:sz w:val="24"/>
          <w:szCs w:val="24"/>
        </w:rPr>
        <w:t>des que se elaboró y entrego con anterioridad. Dando seguimiento con la ejecución del modelo de operación</w:t>
      </w:r>
      <w:r w:rsidR="00F75AF5">
        <w:rPr>
          <w:rFonts w:ascii="Arial" w:hAnsi="Arial" w:cs="Arial"/>
          <w:sz w:val="24"/>
          <w:szCs w:val="24"/>
        </w:rPr>
        <w:t xml:space="preserve">, dando inició a su implementación. </w:t>
      </w:r>
    </w:p>
    <w:p w:rsidR="00C34580" w:rsidRDefault="009A5FC2" w:rsidP="00F75AF5">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ab/>
      </w:r>
      <w:r w:rsidR="00C34580">
        <w:rPr>
          <w:rFonts w:ascii="Arial" w:eastAsia="Times New Roman" w:hAnsi="Arial" w:cs="Arial"/>
          <w:sz w:val="24"/>
          <w:szCs w:val="24"/>
          <w:lang w:eastAsia="es-ES"/>
        </w:rPr>
        <w:t xml:space="preserve">Se brindaron </w:t>
      </w:r>
      <w:r w:rsidR="00C34580">
        <w:rPr>
          <w:rFonts w:ascii="Arial" w:eastAsia="Times New Roman" w:hAnsi="Arial" w:cs="Arial"/>
          <w:sz w:val="24"/>
          <w:szCs w:val="24"/>
          <w:lang w:val="es-ES" w:eastAsia="es-ES"/>
        </w:rPr>
        <w:t>un total de</w:t>
      </w:r>
      <w:r w:rsidR="00F75AF5">
        <w:rPr>
          <w:rFonts w:ascii="Arial" w:eastAsia="Times New Roman" w:hAnsi="Arial" w:cs="Arial"/>
          <w:sz w:val="24"/>
          <w:szCs w:val="24"/>
          <w:lang w:val="es-ES" w:eastAsia="es-ES"/>
        </w:rPr>
        <w:t xml:space="preserve"> 25</w:t>
      </w:r>
      <w:r w:rsidR="00C34580">
        <w:rPr>
          <w:rFonts w:ascii="Arial" w:eastAsia="Times New Roman" w:hAnsi="Arial" w:cs="Arial"/>
          <w:sz w:val="24"/>
          <w:szCs w:val="24"/>
          <w:lang w:val="es-ES" w:eastAsia="es-ES"/>
        </w:rPr>
        <w:t xml:space="preserve"> atenciones destacando que en su mayoría</w:t>
      </w:r>
      <w:r w:rsidR="00F75AF5">
        <w:rPr>
          <w:rFonts w:ascii="Arial" w:eastAsia="Times New Roman" w:hAnsi="Arial" w:cs="Arial"/>
          <w:sz w:val="24"/>
          <w:szCs w:val="24"/>
          <w:lang w:val="es-ES" w:eastAsia="es-ES"/>
        </w:rPr>
        <w:t xml:space="preserve"> fueron a mujeres concretando 20 de ellas y 5</w:t>
      </w:r>
      <w:r w:rsidR="00610CB4">
        <w:rPr>
          <w:rFonts w:ascii="Arial" w:eastAsia="Times New Roman" w:hAnsi="Arial" w:cs="Arial"/>
          <w:sz w:val="24"/>
          <w:szCs w:val="24"/>
          <w:lang w:val="es-ES" w:eastAsia="es-ES"/>
        </w:rPr>
        <w:t xml:space="preserve"> hombre</w:t>
      </w:r>
      <w:r w:rsidR="00F75AF5">
        <w:rPr>
          <w:rFonts w:ascii="Arial" w:eastAsia="Times New Roman" w:hAnsi="Arial" w:cs="Arial"/>
          <w:sz w:val="24"/>
          <w:szCs w:val="24"/>
          <w:lang w:val="es-ES" w:eastAsia="es-ES"/>
        </w:rPr>
        <w:t>s</w:t>
      </w:r>
      <w:r w:rsidR="00610CB4">
        <w:rPr>
          <w:rFonts w:ascii="Arial" w:eastAsia="Times New Roman" w:hAnsi="Arial" w:cs="Arial"/>
          <w:sz w:val="24"/>
          <w:szCs w:val="24"/>
          <w:lang w:val="es-ES" w:eastAsia="es-ES"/>
        </w:rPr>
        <w:t>.</w:t>
      </w:r>
      <w:r w:rsidR="00C34580">
        <w:rPr>
          <w:rFonts w:ascii="Arial" w:eastAsia="Times New Roman" w:hAnsi="Arial" w:cs="Arial"/>
          <w:sz w:val="24"/>
          <w:szCs w:val="24"/>
          <w:lang w:val="es-ES" w:eastAsia="es-ES"/>
        </w:rPr>
        <w:t xml:space="preserve"> </w:t>
      </w:r>
      <w:r w:rsidR="0025543C">
        <w:rPr>
          <w:rFonts w:ascii="Arial" w:eastAsia="Times New Roman" w:hAnsi="Arial" w:cs="Arial"/>
          <w:sz w:val="24"/>
          <w:szCs w:val="24"/>
          <w:lang w:val="es-ES" w:eastAsia="es-ES"/>
        </w:rPr>
        <w:t>La</w:t>
      </w:r>
      <w:r w:rsidR="00C34580">
        <w:rPr>
          <w:rFonts w:ascii="Arial" w:eastAsia="Times New Roman" w:hAnsi="Arial" w:cs="Arial"/>
          <w:sz w:val="24"/>
          <w:szCs w:val="24"/>
          <w:lang w:val="es-ES" w:eastAsia="es-ES"/>
        </w:rPr>
        <w:t>s y los u</w:t>
      </w:r>
      <w:r w:rsidR="0025543C">
        <w:rPr>
          <w:rFonts w:ascii="Arial" w:eastAsia="Times New Roman" w:hAnsi="Arial" w:cs="Arial"/>
          <w:sz w:val="24"/>
          <w:szCs w:val="24"/>
          <w:lang w:val="es-ES" w:eastAsia="es-ES"/>
        </w:rPr>
        <w:t xml:space="preserve">suarios refirieron lo siguiente, </w:t>
      </w:r>
      <w:r w:rsidR="00C34580">
        <w:rPr>
          <w:rFonts w:ascii="Arial" w:eastAsia="Times New Roman" w:hAnsi="Arial" w:cs="Arial"/>
          <w:sz w:val="24"/>
          <w:szCs w:val="24"/>
          <w:lang w:val="es-ES" w:eastAsia="es-ES"/>
        </w:rPr>
        <w:t>presentar mayormente violencia psicológica en la modalidad familiar, el estado civil</w:t>
      </w:r>
      <w:r w:rsidR="00612148">
        <w:rPr>
          <w:rFonts w:ascii="Arial" w:eastAsia="Times New Roman" w:hAnsi="Arial" w:cs="Arial"/>
          <w:sz w:val="24"/>
          <w:szCs w:val="24"/>
          <w:lang w:val="es-ES" w:eastAsia="es-ES"/>
        </w:rPr>
        <w:t xml:space="preserve"> con mayor porcentaje fue soltera</w:t>
      </w:r>
      <w:r w:rsidR="00C34580">
        <w:rPr>
          <w:rFonts w:ascii="Arial" w:eastAsia="Times New Roman" w:hAnsi="Arial" w:cs="Arial"/>
          <w:sz w:val="24"/>
          <w:szCs w:val="24"/>
          <w:lang w:val="es-ES" w:eastAsia="es-ES"/>
        </w:rPr>
        <w:t xml:space="preserve">/o, dentro de las ocupaciones se destacó </w:t>
      </w:r>
      <w:r w:rsidR="00612148">
        <w:rPr>
          <w:rFonts w:ascii="Arial" w:eastAsia="Times New Roman" w:hAnsi="Arial" w:cs="Arial"/>
          <w:sz w:val="24"/>
          <w:szCs w:val="24"/>
          <w:lang w:val="es-ES" w:eastAsia="es-ES"/>
        </w:rPr>
        <w:t xml:space="preserve"> trabajo remunerado </w:t>
      </w:r>
      <w:r w:rsidR="004738ED">
        <w:rPr>
          <w:rFonts w:ascii="Arial" w:eastAsia="Times New Roman" w:hAnsi="Arial" w:cs="Arial"/>
          <w:sz w:val="24"/>
          <w:szCs w:val="24"/>
          <w:lang w:val="es-ES" w:eastAsia="es-ES"/>
        </w:rPr>
        <w:t xml:space="preserve">con mayor grado de concurrencia </w:t>
      </w:r>
      <w:r w:rsidR="00C34580">
        <w:rPr>
          <w:rFonts w:ascii="Arial" w:eastAsia="Times New Roman" w:hAnsi="Arial" w:cs="Arial"/>
          <w:sz w:val="24"/>
          <w:szCs w:val="24"/>
          <w:lang w:val="es-ES" w:eastAsia="es-ES"/>
        </w:rPr>
        <w:t>y el grado de estudios recurrente f</w:t>
      </w:r>
      <w:r w:rsidR="00042890">
        <w:rPr>
          <w:rFonts w:ascii="Arial" w:eastAsia="Times New Roman" w:hAnsi="Arial" w:cs="Arial"/>
          <w:sz w:val="24"/>
          <w:szCs w:val="24"/>
          <w:lang w:val="es-ES" w:eastAsia="es-ES"/>
        </w:rPr>
        <w:t>ue secundaria además se canalizó</w:t>
      </w:r>
      <w:r w:rsidR="00093E26">
        <w:rPr>
          <w:rFonts w:ascii="Arial" w:eastAsia="Times New Roman" w:hAnsi="Arial" w:cs="Arial"/>
          <w:sz w:val="24"/>
          <w:szCs w:val="24"/>
          <w:lang w:val="es-ES" w:eastAsia="es-ES"/>
        </w:rPr>
        <w:t xml:space="preserve"> a 8</w:t>
      </w:r>
      <w:r w:rsidR="008F394B">
        <w:rPr>
          <w:rFonts w:ascii="Arial" w:eastAsia="Times New Roman" w:hAnsi="Arial" w:cs="Arial"/>
          <w:sz w:val="24"/>
          <w:szCs w:val="24"/>
          <w:lang w:val="es-ES" w:eastAsia="es-ES"/>
        </w:rPr>
        <w:t xml:space="preserve"> </w:t>
      </w:r>
      <w:r w:rsidR="00C34580">
        <w:rPr>
          <w:rFonts w:ascii="Arial" w:eastAsia="Times New Roman" w:hAnsi="Arial" w:cs="Arial"/>
          <w:sz w:val="24"/>
          <w:szCs w:val="24"/>
          <w:lang w:val="es-ES" w:eastAsia="es-ES"/>
        </w:rPr>
        <w:t xml:space="preserve">personas a las instituciones pertinentes según cada una de las necesidades de las mismas. </w:t>
      </w:r>
    </w:p>
    <w:p w:rsidR="001643A4" w:rsidRPr="0088062A" w:rsidRDefault="001643A4"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CUANTITATIVO</w:t>
      </w: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4CD31A56" wp14:editId="59A62471">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presente gráfica s</w:t>
      </w:r>
      <w:r>
        <w:rPr>
          <w:rFonts w:ascii="Arial" w:eastAsia="Times New Roman" w:hAnsi="Arial" w:cs="Arial"/>
          <w:sz w:val="20"/>
          <w:szCs w:val="20"/>
          <w:lang w:val="es-ES" w:eastAsia="es-ES"/>
        </w:rPr>
        <w:t>e muestran las atenciones brindadas en el</w:t>
      </w:r>
      <w:r w:rsidRPr="0088062A">
        <w:rPr>
          <w:rFonts w:ascii="Arial" w:eastAsia="Times New Roman" w:hAnsi="Arial" w:cs="Arial"/>
          <w:sz w:val="20"/>
          <w:szCs w:val="20"/>
          <w:lang w:val="es-ES" w:eastAsia="es-ES"/>
        </w:rPr>
        <w:t xml:space="preserve"> mes de </w:t>
      </w:r>
      <w:r w:rsidR="00863F0F">
        <w:rPr>
          <w:rFonts w:ascii="Arial" w:eastAsia="Times New Roman" w:hAnsi="Arial" w:cs="Arial"/>
          <w:sz w:val="20"/>
          <w:szCs w:val="20"/>
          <w:lang w:val="es-ES" w:eastAsia="es-ES"/>
        </w:rPr>
        <w:t>diciem</w:t>
      </w:r>
      <w:r w:rsidRPr="0088062A">
        <w:rPr>
          <w:rFonts w:ascii="Arial" w:eastAsia="Times New Roman" w:hAnsi="Arial" w:cs="Arial"/>
          <w:sz w:val="20"/>
          <w:szCs w:val="20"/>
          <w:lang w:val="es-ES" w:eastAsia="es-ES"/>
        </w:rPr>
        <w:t>bre por el CDM.</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55D0DCAA" wp14:editId="48AE48E3">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gráfica se observa el número de atenciones brindadas en cada una de las áreas que conforman el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612F1237" wp14:editId="65DABB71">
            <wp:extent cx="5400040" cy="3150235"/>
            <wp:effectExtent l="0" t="0" r="10160" b="120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presente tabla se muestra el número de seguimientos que se dieron por parte del área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355DABC" wp14:editId="5FB51B5D">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4E0A01">
        <w:rPr>
          <w:rFonts w:ascii="Arial" w:eastAsia="Times New Roman" w:hAnsi="Arial" w:cs="Arial"/>
          <w:sz w:val="20"/>
          <w:szCs w:val="20"/>
          <w:lang w:val="es-ES" w:eastAsia="es-ES"/>
        </w:rPr>
        <w:t xml:space="preserve"> de las usuarias fue de 30 a 44</w:t>
      </w:r>
      <w:r w:rsidRPr="0088062A">
        <w:rPr>
          <w:rFonts w:ascii="Arial" w:eastAsia="Times New Roman" w:hAnsi="Arial" w:cs="Arial"/>
          <w:sz w:val="20"/>
          <w:szCs w:val="20"/>
          <w:lang w:val="es-ES" w:eastAsia="es-ES"/>
        </w:rPr>
        <w:t xml:space="preserve"> años.</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A043C7"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drawing>
          <wp:inline distT="0" distB="0" distL="0" distR="0" wp14:anchorId="41E79A0C" wp14:editId="6D0DA156">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43C7" w:rsidRPr="0088062A" w:rsidRDefault="004E0A01"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555233">
        <w:rPr>
          <w:rFonts w:ascii="Arial" w:eastAsia="Times New Roman" w:hAnsi="Arial" w:cs="Arial"/>
          <w:sz w:val="20"/>
          <w:szCs w:val="20"/>
          <w:lang w:val="es-ES" w:eastAsia="es-ES"/>
        </w:rPr>
        <w:t xml:space="preserve"> de los usuarios fue de </w:t>
      </w:r>
      <w:r>
        <w:rPr>
          <w:rFonts w:ascii="Arial" w:eastAsia="Times New Roman" w:hAnsi="Arial" w:cs="Arial"/>
          <w:sz w:val="20"/>
          <w:szCs w:val="20"/>
          <w:lang w:val="es-ES" w:eastAsia="es-ES"/>
        </w:rPr>
        <w:t>0</w:t>
      </w:r>
      <w:r w:rsidR="00555233">
        <w:rPr>
          <w:rFonts w:ascii="Arial" w:eastAsia="Times New Roman" w:hAnsi="Arial" w:cs="Arial"/>
          <w:sz w:val="20"/>
          <w:szCs w:val="20"/>
          <w:lang w:val="es-ES" w:eastAsia="es-ES"/>
        </w:rPr>
        <w:t xml:space="preserve"> a 14</w:t>
      </w:r>
      <w:r w:rsidRPr="0088062A">
        <w:rPr>
          <w:rFonts w:ascii="Arial" w:eastAsia="Times New Roman" w:hAnsi="Arial" w:cs="Arial"/>
          <w:sz w:val="20"/>
          <w:szCs w:val="20"/>
          <w:lang w:val="es-ES" w:eastAsia="es-ES"/>
        </w:rPr>
        <w:t xml:space="preserve"> años</w:t>
      </w:r>
      <w:r w:rsidR="00555233">
        <w:rPr>
          <w:rFonts w:ascii="Arial" w:eastAsia="Times New Roman" w:hAnsi="Arial" w:cs="Arial"/>
          <w:sz w:val="20"/>
          <w:szCs w:val="20"/>
          <w:lang w:val="es-ES" w:eastAsia="es-ES"/>
        </w:rPr>
        <w:t>.</w:t>
      </w:r>
    </w:p>
    <w:p w:rsidR="00A043C7"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3EF35E6C" wp14:editId="197A2A95">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desglosan los nombres de la comunidad a la que pertenecen las usuarias y los usuarios que acudieron al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EC04555" wp14:editId="3130B85A">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51D32E2" wp14:editId="3C35C7F1">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6443919" wp14:editId="324F580A">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43A4" w:rsidRPr="0088062A" w:rsidRDefault="001643A4" w:rsidP="001643A4">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lastRenderedPageBreak/>
        <w:tab/>
      </w:r>
      <w:r w:rsidRPr="0088062A">
        <w:rPr>
          <w:rFonts w:ascii="Arial" w:eastAsia="Times New Roman" w:hAnsi="Arial" w:cs="Arial"/>
          <w:noProof/>
          <w:sz w:val="24"/>
          <w:szCs w:val="24"/>
          <w:lang w:eastAsia="es-MX"/>
        </w:rPr>
        <w:drawing>
          <wp:inline distT="0" distB="0" distL="0" distR="0" wp14:anchorId="28F13719" wp14:editId="48DB8E27">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43A4" w:rsidRPr="0088062A" w:rsidRDefault="001643A4" w:rsidP="001643A4">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29E9405E" wp14:editId="74571396">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43A4" w:rsidRDefault="001643A4" w:rsidP="001643A4">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2D2AAB" w:rsidRDefault="002D2AAB" w:rsidP="001643A4">
      <w:pPr>
        <w:shd w:val="clear" w:color="auto" w:fill="FFFFFF"/>
        <w:spacing w:after="324" w:line="360" w:lineRule="auto"/>
        <w:jc w:val="both"/>
        <w:rPr>
          <w:rFonts w:ascii="Arial" w:eastAsia="Times New Roman" w:hAnsi="Arial" w:cs="Arial"/>
          <w:sz w:val="20"/>
          <w:szCs w:val="20"/>
          <w:lang w:val="es-ES" w:eastAsia="es-ES"/>
        </w:rPr>
      </w:pPr>
    </w:p>
    <w:p w:rsidR="002D2AAB" w:rsidRPr="00283B95" w:rsidRDefault="002D2AAB" w:rsidP="002D2AAB">
      <w:pPr>
        <w:shd w:val="clear" w:color="auto" w:fill="FFFFFF"/>
        <w:spacing w:after="324" w:line="360" w:lineRule="auto"/>
        <w:jc w:val="both"/>
        <w:rPr>
          <w:rFonts w:ascii="Arial" w:eastAsia="Times New Roman" w:hAnsi="Arial" w:cs="Arial"/>
          <w:sz w:val="24"/>
          <w:szCs w:val="24"/>
          <w:lang w:val="es-ES" w:eastAsia="es-ES"/>
        </w:rPr>
      </w:pPr>
      <w:r w:rsidRPr="00283B95">
        <w:rPr>
          <w:rFonts w:ascii="Arial" w:eastAsia="Times New Roman" w:hAnsi="Arial" w:cs="Arial"/>
          <w:sz w:val="24"/>
          <w:szCs w:val="24"/>
          <w:lang w:val="es-ES" w:eastAsia="es-ES"/>
        </w:rPr>
        <w:t>TALLERES:</w:t>
      </w:r>
    </w:p>
    <w:p w:rsidR="002D2AAB" w:rsidRDefault="002D2AAB" w:rsidP="002D2AAB">
      <w:pPr>
        <w:shd w:val="clear" w:color="auto" w:fill="FFFFFF"/>
        <w:spacing w:after="324" w:line="360" w:lineRule="auto"/>
        <w:jc w:val="both"/>
        <w:rPr>
          <w:rFonts w:ascii="Arial" w:eastAsia="Times New Roman" w:hAnsi="Arial" w:cs="Arial"/>
          <w:b/>
          <w:i/>
          <w:sz w:val="24"/>
          <w:szCs w:val="24"/>
          <w:lang w:val="es-ES" w:eastAsia="es-ES"/>
        </w:rPr>
      </w:pPr>
      <w:r w:rsidRPr="003C442F">
        <w:rPr>
          <w:rFonts w:ascii="Arial" w:hAnsi="Arial" w:cs="Arial"/>
          <w:noProof/>
          <w:lang w:eastAsia="es-MX"/>
        </w:rPr>
        <w:lastRenderedPageBreak/>
        <w:drawing>
          <wp:inline distT="0" distB="0" distL="0" distR="0" wp14:anchorId="2567782B" wp14:editId="0D79E09E">
            <wp:extent cx="4629150" cy="3335020"/>
            <wp:effectExtent l="0" t="0" r="0" b="17780"/>
            <wp:docPr id="15" name="Gráfico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D2AAB" w:rsidRPr="003639F9"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lastRenderedPageBreak/>
        <w:drawing>
          <wp:inline distT="0" distB="0" distL="0" distR="0" wp14:anchorId="5830F533" wp14:editId="693B8402">
            <wp:extent cx="4819650" cy="6505575"/>
            <wp:effectExtent l="0" t="0" r="0" b="9525"/>
            <wp:docPr id="10"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2AAB" w:rsidRPr="003639F9"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lastRenderedPageBreak/>
        <w:drawing>
          <wp:inline distT="0" distB="0" distL="0" distR="0" wp14:anchorId="2B4442CE" wp14:editId="74C398E6">
            <wp:extent cx="5400040" cy="3153410"/>
            <wp:effectExtent l="0" t="0" r="10160" b="8890"/>
            <wp:docPr id="14" name="Gráfico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D2AAB" w:rsidRDefault="002D2AAB" w:rsidP="002D2AAB">
      <w:pPr>
        <w:rPr>
          <w:rFonts w:ascii="Arial" w:eastAsia="Times New Roman" w:hAnsi="Arial" w:cs="Arial"/>
          <w:sz w:val="24"/>
          <w:szCs w:val="24"/>
          <w:lang w:val="es-ES" w:eastAsia="es-ES"/>
        </w:rPr>
      </w:pPr>
      <w:r w:rsidRPr="003C442F">
        <w:rPr>
          <w:rFonts w:ascii="Arial" w:hAnsi="Arial" w:cs="Arial"/>
          <w:b/>
          <w:noProof/>
          <w:lang w:eastAsia="es-MX"/>
        </w:rPr>
        <w:drawing>
          <wp:inline distT="0" distB="0" distL="0" distR="0" wp14:anchorId="0ECD9503" wp14:editId="7FDA4577">
            <wp:extent cx="5400040" cy="3968115"/>
            <wp:effectExtent l="0" t="0" r="10160" b="13335"/>
            <wp:docPr id="1" name="Gráfico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D2AAB" w:rsidRPr="003639F9" w:rsidRDefault="002D2AAB" w:rsidP="002D2AAB">
      <w:pPr>
        <w:tabs>
          <w:tab w:val="left" w:pos="7365"/>
        </w:tabs>
        <w:rPr>
          <w:rFonts w:ascii="Arial" w:eastAsia="Times New Roman" w:hAnsi="Arial" w:cs="Arial"/>
          <w:sz w:val="24"/>
          <w:szCs w:val="24"/>
          <w:lang w:val="es-ES" w:eastAsia="es-ES"/>
        </w:rPr>
      </w:pPr>
      <w:r>
        <w:rPr>
          <w:rFonts w:ascii="Arial" w:eastAsia="Times New Roman" w:hAnsi="Arial" w:cs="Arial"/>
          <w:sz w:val="24"/>
          <w:szCs w:val="24"/>
          <w:lang w:val="es-ES" w:eastAsia="es-ES"/>
        </w:rPr>
        <w:tab/>
      </w:r>
    </w:p>
    <w:p w:rsidR="002D2AAB" w:rsidRPr="008E071B" w:rsidRDefault="002D2AAB" w:rsidP="002D2AAB">
      <w:pPr>
        <w:shd w:val="clear" w:color="auto" w:fill="FFFFFF"/>
        <w:spacing w:after="324" w:line="360" w:lineRule="auto"/>
        <w:jc w:val="center"/>
        <w:rPr>
          <w:rFonts w:ascii="Arial" w:eastAsia="Times New Roman" w:hAnsi="Arial" w:cs="Arial"/>
          <w:b/>
          <w:i/>
          <w:sz w:val="24"/>
          <w:szCs w:val="24"/>
          <w:lang w:val="es-ES" w:eastAsia="es-ES"/>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lastRenderedPageBreak/>
        <w:t>CONCLUSIONES Y RECOMENDACIONES</w:t>
      </w:r>
      <w:r w:rsidR="0096597C">
        <w:rPr>
          <w:rFonts w:ascii="Arial" w:eastAsia="Times New Roman" w:hAnsi="Arial" w:cs="Arial"/>
          <w:b/>
          <w:bCs/>
          <w:color w:val="000000"/>
          <w:sz w:val="24"/>
          <w:szCs w:val="24"/>
          <w:lang w:val="es-ES" w:eastAsia="es-MX"/>
        </w:rPr>
        <w:t>:</w:t>
      </w:r>
    </w:p>
    <w:p w:rsidR="00B4295E" w:rsidRDefault="00B4295E" w:rsidP="0096597C">
      <w:pPr>
        <w:spacing w:after="0" w:line="276" w:lineRule="auto"/>
        <w:jc w:val="center"/>
        <w:textAlignment w:val="baseline"/>
        <w:rPr>
          <w:rFonts w:ascii="Arial" w:eastAsia="Times New Roman" w:hAnsi="Arial" w:cs="Arial"/>
          <w:b/>
          <w:bCs/>
          <w:color w:val="000000"/>
          <w:sz w:val="24"/>
          <w:szCs w:val="24"/>
          <w:lang w:val="es-ES" w:eastAsia="es-MX"/>
        </w:rPr>
      </w:pPr>
    </w:p>
    <w:p w:rsidR="00A25DDD" w:rsidRDefault="00A25DDD" w:rsidP="0096597C">
      <w:pPr>
        <w:spacing w:after="0" w:line="276" w:lineRule="auto"/>
        <w:jc w:val="center"/>
        <w:textAlignment w:val="baseline"/>
        <w:rPr>
          <w:rFonts w:ascii="Arial" w:eastAsia="Times New Roman" w:hAnsi="Arial" w:cs="Arial"/>
          <w:b/>
          <w:bCs/>
          <w:color w:val="000000"/>
          <w:sz w:val="24"/>
          <w:szCs w:val="24"/>
          <w:lang w:val="es-ES" w:eastAsia="es-MX"/>
        </w:rPr>
      </w:pPr>
    </w:p>
    <w:p w:rsidR="00795155" w:rsidRDefault="00A25DDD" w:rsidP="00ED785D">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
          <w:bCs/>
          <w:color w:val="000000"/>
          <w:sz w:val="24"/>
          <w:szCs w:val="24"/>
          <w:lang w:val="es-ES" w:eastAsia="es-MX"/>
        </w:rPr>
        <w:tab/>
      </w:r>
      <w:r w:rsidR="00ED785D">
        <w:rPr>
          <w:rFonts w:ascii="Arial" w:eastAsia="Times New Roman" w:hAnsi="Arial" w:cs="Arial"/>
          <w:bCs/>
          <w:color w:val="000000"/>
          <w:sz w:val="24"/>
          <w:szCs w:val="24"/>
          <w:lang w:val="es-ES" w:eastAsia="es-MX"/>
        </w:rPr>
        <w:t>A través del trabajo realizado a la largo de</w:t>
      </w:r>
      <w:r w:rsidR="004A4173">
        <w:rPr>
          <w:rFonts w:ascii="Arial" w:eastAsia="Times New Roman" w:hAnsi="Arial" w:cs="Arial"/>
          <w:bCs/>
          <w:color w:val="000000"/>
          <w:sz w:val="24"/>
          <w:szCs w:val="24"/>
          <w:lang w:val="es-ES" w:eastAsia="es-MX"/>
        </w:rPr>
        <w:t xml:space="preserve">l trascurso del proyecto abril 2018 a enero 2019, </w:t>
      </w:r>
      <w:r w:rsidR="00574900">
        <w:rPr>
          <w:rFonts w:ascii="Arial" w:eastAsia="Times New Roman" w:hAnsi="Arial" w:cs="Arial"/>
          <w:bCs/>
          <w:color w:val="000000"/>
          <w:sz w:val="24"/>
          <w:szCs w:val="24"/>
          <w:lang w:val="es-ES" w:eastAsia="es-MX"/>
        </w:rPr>
        <w:t>se generaron redes y grupos de mujeres a</w:t>
      </w:r>
      <w:r w:rsidR="00097B7C">
        <w:rPr>
          <w:rFonts w:ascii="Arial" w:eastAsia="Times New Roman" w:hAnsi="Arial" w:cs="Arial"/>
          <w:bCs/>
          <w:color w:val="000000"/>
          <w:sz w:val="24"/>
          <w:szCs w:val="24"/>
          <w:lang w:val="es-ES" w:eastAsia="es-MX"/>
        </w:rPr>
        <w:t xml:space="preserve"> las cuales se les capacito en determinadas acciones y conocimie</w:t>
      </w:r>
      <w:r w:rsidR="00574900">
        <w:rPr>
          <w:rFonts w:ascii="Arial" w:eastAsia="Times New Roman" w:hAnsi="Arial" w:cs="Arial"/>
          <w:bCs/>
          <w:color w:val="000000"/>
          <w:sz w:val="24"/>
          <w:szCs w:val="24"/>
          <w:lang w:val="es-ES" w:eastAsia="es-MX"/>
        </w:rPr>
        <w:t>ntos para lograr con ell</w:t>
      </w:r>
      <w:r w:rsidR="00097B7C">
        <w:rPr>
          <w:rFonts w:ascii="Arial" w:eastAsia="Times New Roman" w:hAnsi="Arial" w:cs="Arial"/>
          <w:bCs/>
          <w:color w:val="000000"/>
          <w:sz w:val="24"/>
          <w:szCs w:val="24"/>
          <w:lang w:val="es-ES" w:eastAsia="es-MX"/>
        </w:rPr>
        <w:t>o sean mujeres em</w:t>
      </w:r>
      <w:r w:rsidR="00574900">
        <w:rPr>
          <w:rFonts w:ascii="Arial" w:eastAsia="Times New Roman" w:hAnsi="Arial" w:cs="Arial"/>
          <w:bCs/>
          <w:color w:val="000000"/>
          <w:sz w:val="24"/>
          <w:szCs w:val="24"/>
          <w:lang w:val="es-ES" w:eastAsia="es-MX"/>
        </w:rPr>
        <w:t xml:space="preserve">prendedoras, independientes y gestoras a sus propias necesidades, al igual que se ha logrado disminuir las brechas de desigualdad en la población sanmartinense, puesto que se </w:t>
      </w:r>
      <w:r w:rsidR="00097B7C">
        <w:rPr>
          <w:rFonts w:ascii="Arial" w:eastAsia="Times New Roman" w:hAnsi="Arial" w:cs="Arial"/>
          <w:bCs/>
          <w:color w:val="000000"/>
          <w:sz w:val="24"/>
          <w:szCs w:val="24"/>
          <w:lang w:val="es-ES" w:eastAsia="es-MX"/>
        </w:rPr>
        <w:t>trabajó</w:t>
      </w:r>
      <w:r w:rsidR="00401119">
        <w:rPr>
          <w:rFonts w:ascii="Arial" w:eastAsia="Times New Roman" w:hAnsi="Arial" w:cs="Arial"/>
          <w:bCs/>
          <w:color w:val="000000"/>
          <w:sz w:val="24"/>
          <w:szCs w:val="24"/>
          <w:lang w:val="es-ES" w:eastAsia="es-MX"/>
        </w:rPr>
        <w:t xml:space="preserve"> constante en la lucha de sus derechos como mujeres, haciéndolos valer </w:t>
      </w:r>
      <w:r w:rsidR="00824789">
        <w:rPr>
          <w:rFonts w:ascii="Arial" w:eastAsia="Times New Roman" w:hAnsi="Arial" w:cs="Arial"/>
          <w:bCs/>
          <w:color w:val="000000"/>
          <w:sz w:val="24"/>
          <w:szCs w:val="24"/>
          <w:lang w:val="es-ES" w:eastAsia="es-MX"/>
        </w:rPr>
        <w:t>y disminuir</w:t>
      </w:r>
      <w:r w:rsidR="00623BE7">
        <w:rPr>
          <w:rFonts w:ascii="Arial" w:eastAsia="Times New Roman" w:hAnsi="Arial" w:cs="Arial"/>
          <w:bCs/>
          <w:color w:val="000000"/>
          <w:sz w:val="24"/>
          <w:szCs w:val="24"/>
          <w:lang w:val="es-ES" w:eastAsia="es-MX"/>
        </w:rPr>
        <w:t xml:space="preserve"> con ello</w:t>
      </w:r>
      <w:r w:rsidR="00824789">
        <w:rPr>
          <w:rFonts w:ascii="Arial" w:eastAsia="Times New Roman" w:hAnsi="Arial" w:cs="Arial"/>
          <w:bCs/>
          <w:color w:val="000000"/>
          <w:sz w:val="24"/>
          <w:szCs w:val="24"/>
          <w:lang w:val="es-ES" w:eastAsia="es-MX"/>
        </w:rPr>
        <w:t xml:space="preserve"> </w:t>
      </w:r>
      <w:r w:rsidR="00401119">
        <w:rPr>
          <w:rFonts w:ascii="Arial" w:eastAsia="Times New Roman" w:hAnsi="Arial" w:cs="Arial"/>
          <w:bCs/>
          <w:color w:val="000000"/>
          <w:sz w:val="24"/>
          <w:szCs w:val="24"/>
          <w:lang w:val="es-ES" w:eastAsia="es-MX"/>
        </w:rPr>
        <w:t>la violencia.</w:t>
      </w:r>
    </w:p>
    <w:p w:rsidR="00795155" w:rsidRDefault="00401119" w:rsidP="0006528B">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r>
      <w:r w:rsidR="00FB27F3">
        <w:rPr>
          <w:rFonts w:ascii="Arial" w:eastAsia="Times New Roman" w:hAnsi="Arial" w:cs="Arial"/>
          <w:bCs/>
          <w:color w:val="000000"/>
          <w:sz w:val="24"/>
          <w:szCs w:val="24"/>
          <w:lang w:val="es-ES" w:eastAsia="es-MX"/>
        </w:rPr>
        <w:t xml:space="preserve">A las mismas mujeres se les invito a que posteriormente gestionen nuevos conocimientos y/o acciones que les ayuden a </w:t>
      </w:r>
      <w:r w:rsidR="00824789">
        <w:rPr>
          <w:rFonts w:ascii="Arial" w:eastAsia="Times New Roman" w:hAnsi="Arial" w:cs="Arial"/>
          <w:bCs/>
          <w:color w:val="000000"/>
          <w:sz w:val="24"/>
          <w:szCs w:val="24"/>
          <w:lang w:val="es-ES" w:eastAsia="es-MX"/>
        </w:rPr>
        <w:t>tomar decision</w:t>
      </w:r>
      <w:r w:rsidR="00097B7C">
        <w:rPr>
          <w:rFonts w:ascii="Arial" w:eastAsia="Times New Roman" w:hAnsi="Arial" w:cs="Arial"/>
          <w:bCs/>
          <w:color w:val="000000"/>
          <w:sz w:val="24"/>
          <w:szCs w:val="24"/>
          <w:lang w:val="es-ES" w:eastAsia="es-MX"/>
        </w:rPr>
        <w:t>es y lograr con ello independizarse</w:t>
      </w:r>
      <w:r w:rsidR="00C9045E">
        <w:rPr>
          <w:rFonts w:ascii="Arial" w:eastAsia="Times New Roman" w:hAnsi="Arial" w:cs="Arial"/>
          <w:bCs/>
          <w:color w:val="000000"/>
          <w:sz w:val="24"/>
          <w:szCs w:val="24"/>
          <w:lang w:val="es-ES" w:eastAsia="es-MX"/>
        </w:rPr>
        <w:t>.</w:t>
      </w:r>
    </w:p>
    <w:p w:rsidR="00682729" w:rsidRDefault="00682729" w:rsidP="0006528B">
      <w:pPr>
        <w:spacing w:after="0" w:line="360" w:lineRule="auto"/>
        <w:jc w:val="both"/>
        <w:textAlignment w:val="baseline"/>
        <w:rPr>
          <w:rFonts w:ascii="Arial" w:eastAsia="Times New Roman" w:hAnsi="Arial" w:cs="Arial"/>
          <w:bCs/>
          <w:color w:val="FF0000"/>
          <w:sz w:val="24"/>
          <w:szCs w:val="24"/>
          <w:lang w:val="es-ES" w:eastAsia="es-MX"/>
        </w:rPr>
      </w:pPr>
      <w:r>
        <w:rPr>
          <w:rFonts w:ascii="Arial" w:eastAsia="Times New Roman" w:hAnsi="Arial" w:cs="Arial"/>
          <w:bCs/>
          <w:color w:val="000000"/>
          <w:sz w:val="24"/>
          <w:szCs w:val="24"/>
          <w:lang w:val="es-ES" w:eastAsia="es-MX"/>
        </w:rPr>
        <w:tab/>
        <w:t>Cabe mencionar que durante el proyecto, el mes con mayor índice de atenciones y asesorías presentadas ante el CDM fue</w:t>
      </w:r>
      <w:r w:rsidR="007C0058">
        <w:rPr>
          <w:rFonts w:ascii="Arial" w:eastAsia="Times New Roman" w:hAnsi="Arial" w:cs="Arial"/>
          <w:bCs/>
          <w:color w:val="000000"/>
          <w:sz w:val="24"/>
          <w:szCs w:val="24"/>
          <w:lang w:val="es-ES" w:eastAsia="es-MX"/>
        </w:rPr>
        <w:t>,</w:t>
      </w:r>
      <w:r>
        <w:rPr>
          <w:rFonts w:ascii="Arial" w:eastAsia="Times New Roman" w:hAnsi="Arial" w:cs="Arial"/>
          <w:bCs/>
          <w:color w:val="000000"/>
          <w:sz w:val="24"/>
          <w:szCs w:val="24"/>
          <w:lang w:val="es-ES" w:eastAsia="es-MX"/>
        </w:rPr>
        <w:t xml:space="preserve"> </w:t>
      </w:r>
      <w:r w:rsidR="007C0058">
        <w:rPr>
          <w:rFonts w:ascii="Arial" w:eastAsia="Times New Roman" w:hAnsi="Arial" w:cs="Arial"/>
          <w:bCs/>
          <w:color w:val="000000"/>
          <w:sz w:val="24"/>
          <w:szCs w:val="24"/>
          <w:lang w:val="es-ES" w:eastAsia="es-MX"/>
        </w:rPr>
        <w:t xml:space="preserve">enero </w:t>
      </w:r>
    </w:p>
    <w:p w:rsidR="004B5751" w:rsidRDefault="004B5751" w:rsidP="0006528B">
      <w:pPr>
        <w:spacing w:after="0" w:line="360" w:lineRule="auto"/>
        <w:jc w:val="both"/>
        <w:textAlignment w:val="baseline"/>
        <w:rPr>
          <w:rFonts w:ascii="Arial" w:eastAsia="Times New Roman" w:hAnsi="Arial" w:cs="Arial"/>
          <w:bCs/>
          <w:color w:val="FF0000"/>
          <w:sz w:val="24"/>
          <w:szCs w:val="24"/>
          <w:lang w:val="es-ES" w:eastAsia="es-MX"/>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4B5751" w:rsidRDefault="004B5751" w:rsidP="007405B2">
      <w:pPr>
        <w:spacing w:after="0" w:line="360" w:lineRule="auto"/>
        <w:rPr>
          <w:rFonts w:ascii="Arial" w:eastAsia="Times New Roman" w:hAnsi="Arial" w:cs="Arial"/>
          <w:sz w:val="24"/>
          <w:szCs w:val="24"/>
          <w:lang w:val="es-ES" w:eastAsia="es-ES"/>
        </w:rPr>
      </w:pPr>
    </w:p>
    <w:p w:rsidR="004B5751" w:rsidRDefault="004B5751"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Default="0016435E" w:rsidP="007405B2">
      <w:pPr>
        <w:spacing w:after="0" w:line="360" w:lineRule="auto"/>
        <w:rPr>
          <w:rFonts w:ascii="Arial" w:eastAsia="Times New Roman" w:hAnsi="Arial" w:cs="Arial"/>
          <w:sz w:val="24"/>
          <w:szCs w:val="24"/>
          <w:lang w:val="es-ES" w:eastAsia="es-ES"/>
        </w:rPr>
      </w:pPr>
    </w:p>
    <w:p w:rsidR="0016435E" w:rsidRPr="0088062A" w:rsidRDefault="0016435E" w:rsidP="007405B2">
      <w:pPr>
        <w:spacing w:after="0" w:line="360" w:lineRule="auto"/>
        <w:rPr>
          <w:rFonts w:ascii="Arial" w:eastAsia="Times New Roman" w:hAnsi="Arial" w:cs="Arial"/>
          <w:sz w:val="24"/>
          <w:szCs w:val="24"/>
          <w:lang w:val="es-ES" w:eastAsia="es-ES"/>
        </w:rPr>
      </w:pPr>
      <w:bookmarkStart w:id="0" w:name="_GoBack"/>
      <w:bookmarkEnd w:id="0"/>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HIDALGO, JALISCO</w:t>
      </w:r>
      <w:r w:rsidR="004B5751">
        <w:rPr>
          <w:rFonts w:ascii="Arial" w:eastAsia="Times New Roman" w:hAnsi="Arial" w:cs="Arial"/>
          <w:sz w:val="24"/>
          <w:szCs w:val="24"/>
          <w:lang w:val="es-ES" w:eastAsia="es-ES"/>
        </w:rPr>
        <w:t>. ENERO 2019</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Coordinador </w:t>
      </w:r>
      <w:r w:rsidR="001426E8" w:rsidRPr="0088062A">
        <w:rPr>
          <w:rFonts w:ascii="Arial" w:eastAsia="Times New Roman" w:hAnsi="Arial" w:cs="Arial"/>
          <w:sz w:val="24"/>
          <w:szCs w:val="24"/>
          <w:lang w:val="es-ES" w:eastAsia="es-ES"/>
        </w:rPr>
        <w:t>CDM</w:t>
      </w: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Psic. Laura Cristina Zárate Magallanes</w:t>
      </w: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Derecho Thelma Yaneth Rubio Avalos</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23"/>
          <w:footerReference w:type="default" r:id="rId24"/>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A85" w:rsidRDefault="00BC7A85">
      <w:pPr>
        <w:spacing w:after="0" w:line="240" w:lineRule="auto"/>
      </w:pPr>
      <w:r>
        <w:separator/>
      </w:r>
    </w:p>
  </w:endnote>
  <w:endnote w:type="continuationSeparator" w:id="0">
    <w:p w:rsidR="00BC7A85" w:rsidRDefault="00B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16435E">
          <w:rPr>
            <w:noProof/>
          </w:rPr>
          <w:t>16</w:t>
        </w:r>
        <w:r>
          <w:fldChar w:fldCharType="end"/>
        </w:r>
      </w:p>
    </w:sdtContent>
  </w:sdt>
  <w:p w:rsidR="00112399" w:rsidRDefault="00112399" w:rsidP="00112399">
    <w:pPr>
      <w:pStyle w:val="Piedepgina"/>
      <w:jc w:val="center"/>
      <w:rPr>
        <w:rFonts w:ascii="Arial" w:hAnsi="Arial" w:cs="Arial"/>
        <w:sz w:val="14"/>
        <w:szCs w:val="14"/>
      </w:rPr>
    </w:pPr>
  </w:p>
  <w:p w:rsidR="00112399" w:rsidRPr="005A4913" w:rsidRDefault="00112399" w:rsidP="00112399">
    <w:pPr>
      <w:pStyle w:val="Piedepgina"/>
      <w:jc w:val="cente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A85" w:rsidRDefault="00BC7A85">
      <w:pPr>
        <w:spacing w:after="0" w:line="240" w:lineRule="auto"/>
      </w:pPr>
      <w:r>
        <w:separator/>
      </w:r>
    </w:p>
  </w:footnote>
  <w:footnote w:type="continuationSeparator" w:id="0">
    <w:p w:rsidR="00BC7A85" w:rsidRDefault="00BC7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99" w:rsidRDefault="00112399" w:rsidP="00112399">
    <w:pPr>
      <w:pStyle w:val="Encabezado"/>
      <w:jc w:val="center"/>
    </w:pPr>
    <w:r w:rsidRPr="000E3A19">
      <w:rPr>
        <w:b/>
        <w:noProof/>
        <w:color w:val="000000"/>
        <w:lang w:val="es-MX" w:eastAsia="es-MX"/>
      </w:rPr>
      <w:drawing>
        <wp:inline distT="0" distB="0" distL="0" distR="0" wp14:anchorId="6436297D" wp14:editId="0CE297ED">
          <wp:extent cx="4362450" cy="819150"/>
          <wp:effectExtent l="0" t="0" r="0" b="0"/>
          <wp:docPr id="12" name="Imagen 12"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362450" cy="819150"/>
                  </a:xfrm>
                  <a:prstGeom prst="rect">
                    <a:avLst/>
                  </a:prstGeom>
                  <a:noFill/>
                  <a:ln>
                    <a:noFill/>
                  </a:ln>
                </pic:spPr>
              </pic:pic>
            </a:graphicData>
          </a:graphic>
        </wp:inline>
      </w:drawing>
    </w:r>
    <w:r w:rsidRPr="003F33ED">
      <w:rPr>
        <w:rFonts w:ascii="Arial" w:hAnsi="Arial" w:cs="Arial"/>
        <w:noProof/>
        <w:sz w:val="36"/>
        <w:szCs w:val="36"/>
        <w:lang w:val="es-MX" w:eastAsia="es-MX"/>
      </w:rPr>
      <w:drawing>
        <wp:inline distT="0" distB="0" distL="0" distR="0" wp14:anchorId="6BEB07B5" wp14:editId="329395D4">
          <wp:extent cx="1009650" cy="781050"/>
          <wp:effectExtent l="0" t="0" r="0" b="0"/>
          <wp:docPr id="13" name="Imagen 13"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781050"/>
                  </a:xfrm>
                  <a:prstGeom prst="rect">
                    <a:avLst/>
                  </a:prstGeom>
                  <a:noFill/>
                  <a:ln>
                    <a:noFill/>
                  </a:ln>
                </pic:spPr>
              </pic:pic>
            </a:graphicData>
          </a:graphic>
        </wp:inline>
      </w:drawing>
    </w:r>
  </w:p>
  <w:p w:rsidR="00112399" w:rsidRDefault="00112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31ED"/>
    <w:multiLevelType w:val="hybridMultilevel"/>
    <w:tmpl w:val="0BB69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F42491"/>
    <w:multiLevelType w:val="hybridMultilevel"/>
    <w:tmpl w:val="84B45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37"/>
    <w:rsid w:val="00001954"/>
    <w:rsid w:val="00003F5D"/>
    <w:rsid w:val="00006664"/>
    <w:rsid w:val="00011033"/>
    <w:rsid w:val="00011C40"/>
    <w:rsid w:val="00011D67"/>
    <w:rsid w:val="00012D53"/>
    <w:rsid w:val="00012EDE"/>
    <w:rsid w:val="00017153"/>
    <w:rsid w:val="00036532"/>
    <w:rsid w:val="00037BBA"/>
    <w:rsid w:val="00042890"/>
    <w:rsid w:val="00044864"/>
    <w:rsid w:val="00044B73"/>
    <w:rsid w:val="0005301F"/>
    <w:rsid w:val="00054C71"/>
    <w:rsid w:val="000608D3"/>
    <w:rsid w:val="0006212A"/>
    <w:rsid w:val="0006528B"/>
    <w:rsid w:val="000733F9"/>
    <w:rsid w:val="00075E1D"/>
    <w:rsid w:val="000775F6"/>
    <w:rsid w:val="00080657"/>
    <w:rsid w:val="00082262"/>
    <w:rsid w:val="00082679"/>
    <w:rsid w:val="000854AD"/>
    <w:rsid w:val="000903C6"/>
    <w:rsid w:val="00092D41"/>
    <w:rsid w:val="00093E26"/>
    <w:rsid w:val="00097B7C"/>
    <w:rsid w:val="000B0745"/>
    <w:rsid w:val="000B1B41"/>
    <w:rsid w:val="000C0095"/>
    <w:rsid w:val="000D0484"/>
    <w:rsid w:val="000D3A75"/>
    <w:rsid w:val="000E4219"/>
    <w:rsid w:val="00102B2E"/>
    <w:rsid w:val="001031F3"/>
    <w:rsid w:val="00103E3E"/>
    <w:rsid w:val="00104C64"/>
    <w:rsid w:val="00110173"/>
    <w:rsid w:val="00112399"/>
    <w:rsid w:val="00117BC2"/>
    <w:rsid w:val="0012127B"/>
    <w:rsid w:val="0012129C"/>
    <w:rsid w:val="0012471C"/>
    <w:rsid w:val="001252C8"/>
    <w:rsid w:val="00125841"/>
    <w:rsid w:val="00125C09"/>
    <w:rsid w:val="00133D30"/>
    <w:rsid w:val="00140A71"/>
    <w:rsid w:val="00141979"/>
    <w:rsid w:val="001426E8"/>
    <w:rsid w:val="00143EAD"/>
    <w:rsid w:val="00153117"/>
    <w:rsid w:val="00154DC1"/>
    <w:rsid w:val="0015778D"/>
    <w:rsid w:val="00157C61"/>
    <w:rsid w:val="001612C9"/>
    <w:rsid w:val="0016435E"/>
    <w:rsid w:val="001643A4"/>
    <w:rsid w:val="0016463F"/>
    <w:rsid w:val="00164769"/>
    <w:rsid w:val="00166F47"/>
    <w:rsid w:val="001833B0"/>
    <w:rsid w:val="001858C6"/>
    <w:rsid w:val="001923CD"/>
    <w:rsid w:val="00196A73"/>
    <w:rsid w:val="001972B9"/>
    <w:rsid w:val="00197C14"/>
    <w:rsid w:val="001A4A67"/>
    <w:rsid w:val="001B0C7C"/>
    <w:rsid w:val="001B5F91"/>
    <w:rsid w:val="001C56FC"/>
    <w:rsid w:val="001D0C95"/>
    <w:rsid w:val="001D600F"/>
    <w:rsid w:val="001E00D0"/>
    <w:rsid w:val="001E1283"/>
    <w:rsid w:val="001E137A"/>
    <w:rsid w:val="001E5AE0"/>
    <w:rsid w:val="001E799C"/>
    <w:rsid w:val="001F2262"/>
    <w:rsid w:val="001F4EAF"/>
    <w:rsid w:val="001F51E5"/>
    <w:rsid w:val="00207F30"/>
    <w:rsid w:val="00211A60"/>
    <w:rsid w:val="00212539"/>
    <w:rsid w:val="0021297F"/>
    <w:rsid w:val="00217668"/>
    <w:rsid w:val="002210CD"/>
    <w:rsid w:val="00226BA6"/>
    <w:rsid w:val="00230143"/>
    <w:rsid w:val="00231D43"/>
    <w:rsid w:val="00241975"/>
    <w:rsid w:val="0025040F"/>
    <w:rsid w:val="002530C6"/>
    <w:rsid w:val="0025543C"/>
    <w:rsid w:val="002641C8"/>
    <w:rsid w:val="002643B7"/>
    <w:rsid w:val="00267E45"/>
    <w:rsid w:val="002704EA"/>
    <w:rsid w:val="002717CE"/>
    <w:rsid w:val="0028556F"/>
    <w:rsid w:val="002960D3"/>
    <w:rsid w:val="002A2E7F"/>
    <w:rsid w:val="002A4035"/>
    <w:rsid w:val="002A4573"/>
    <w:rsid w:val="002A772A"/>
    <w:rsid w:val="002B1B20"/>
    <w:rsid w:val="002C2AB7"/>
    <w:rsid w:val="002C4317"/>
    <w:rsid w:val="002D1E78"/>
    <w:rsid w:val="002D2425"/>
    <w:rsid w:val="002D2AAB"/>
    <w:rsid w:val="002D50F3"/>
    <w:rsid w:val="002D698A"/>
    <w:rsid w:val="002E02D3"/>
    <w:rsid w:val="002F16E9"/>
    <w:rsid w:val="002F656F"/>
    <w:rsid w:val="0031115E"/>
    <w:rsid w:val="00317659"/>
    <w:rsid w:val="003209FC"/>
    <w:rsid w:val="003228BB"/>
    <w:rsid w:val="00326370"/>
    <w:rsid w:val="00326AB9"/>
    <w:rsid w:val="00334038"/>
    <w:rsid w:val="00345DA5"/>
    <w:rsid w:val="00352D1D"/>
    <w:rsid w:val="003534DA"/>
    <w:rsid w:val="003579EB"/>
    <w:rsid w:val="00360AEE"/>
    <w:rsid w:val="0036652A"/>
    <w:rsid w:val="003666B1"/>
    <w:rsid w:val="003715FB"/>
    <w:rsid w:val="00374DC5"/>
    <w:rsid w:val="003805FC"/>
    <w:rsid w:val="0038255F"/>
    <w:rsid w:val="003865AB"/>
    <w:rsid w:val="0039169E"/>
    <w:rsid w:val="0039280D"/>
    <w:rsid w:val="00394DA5"/>
    <w:rsid w:val="003A19FE"/>
    <w:rsid w:val="003A1B20"/>
    <w:rsid w:val="003A2368"/>
    <w:rsid w:val="003A27ED"/>
    <w:rsid w:val="003A6393"/>
    <w:rsid w:val="003B38AD"/>
    <w:rsid w:val="003B7FF2"/>
    <w:rsid w:val="003C058D"/>
    <w:rsid w:val="003D1191"/>
    <w:rsid w:val="003D2E3A"/>
    <w:rsid w:val="003D2F45"/>
    <w:rsid w:val="003D34DA"/>
    <w:rsid w:val="003D3941"/>
    <w:rsid w:val="003E1446"/>
    <w:rsid w:val="003E2E64"/>
    <w:rsid w:val="003E3304"/>
    <w:rsid w:val="003E5189"/>
    <w:rsid w:val="003F4379"/>
    <w:rsid w:val="003F7E51"/>
    <w:rsid w:val="00400BE3"/>
    <w:rsid w:val="00401119"/>
    <w:rsid w:val="00402A95"/>
    <w:rsid w:val="004030D6"/>
    <w:rsid w:val="00422177"/>
    <w:rsid w:val="0042266C"/>
    <w:rsid w:val="00425E1F"/>
    <w:rsid w:val="00435698"/>
    <w:rsid w:val="00435C0F"/>
    <w:rsid w:val="00445D91"/>
    <w:rsid w:val="0044614D"/>
    <w:rsid w:val="0045097E"/>
    <w:rsid w:val="004644F3"/>
    <w:rsid w:val="00466AA1"/>
    <w:rsid w:val="004738ED"/>
    <w:rsid w:val="00477496"/>
    <w:rsid w:val="004811F5"/>
    <w:rsid w:val="004913CB"/>
    <w:rsid w:val="004929F5"/>
    <w:rsid w:val="004A01DC"/>
    <w:rsid w:val="004A06B1"/>
    <w:rsid w:val="004A319E"/>
    <w:rsid w:val="004A4173"/>
    <w:rsid w:val="004B02AF"/>
    <w:rsid w:val="004B1BF5"/>
    <w:rsid w:val="004B53C2"/>
    <w:rsid w:val="004B5751"/>
    <w:rsid w:val="004C010E"/>
    <w:rsid w:val="004C044A"/>
    <w:rsid w:val="004C0473"/>
    <w:rsid w:val="004C3FCB"/>
    <w:rsid w:val="004C4A58"/>
    <w:rsid w:val="004D17C5"/>
    <w:rsid w:val="004D192A"/>
    <w:rsid w:val="004E0A01"/>
    <w:rsid w:val="004E514A"/>
    <w:rsid w:val="004E59AC"/>
    <w:rsid w:val="004F06CC"/>
    <w:rsid w:val="004F3CFA"/>
    <w:rsid w:val="004F3D46"/>
    <w:rsid w:val="004F5675"/>
    <w:rsid w:val="004F68F0"/>
    <w:rsid w:val="004F7EE6"/>
    <w:rsid w:val="00505F2D"/>
    <w:rsid w:val="00512DCC"/>
    <w:rsid w:val="0051629C"/>
    <w:rsid w:val="00521DFE"/>
    <w:rsid w:val="00522EF8"/>
    <w:rsid w:val="00552E16"/>
    <w:rsid w:val="00554DB2"/>
    <w:rsid w:val="00555233"/>
    <w:rsid w:val="005552AA"/>
    <w:rsid w:val="00555977"/>
    <w:rsid w:val="00565EB6"/>
    <w:rsid w:val="0056694A"/>
    <w:rsid w:val="00573302"/>
    <w:rsid w:val="005741FA"/>
    <w:rsid w:val="00574900"/>
    <w:rsid w:val="00576C29"/>
    <w:rsid w:val="00581531"/>
    <w:rsid w:val="00582183"/>
    <w:rsid w:val="00582B9B"/>
    <w:rsid w:val="005846DF"/>
    <w:rsid w:val="0059037F"/>
    <w:rsid w:val="005A048A"/>
    <w:rsid w:val="005A6B3E"/>
    <w:rsid w:val="005B7E9B"/>
    <w:rsid w:val="005D1BA6"/>
    <w:rsid w:val="005D3074"/>
    <w:rsid w:val="005D7407"/>
    <w:rsid w:val="005D7AC4"/>
    <w:rsid w:val="005F2FB0"/>
    <w:rsid w:val="005F66C5"/>
    <w:rsid w:val="00601ED1"/>
    <w:rsid w:val="00602A31"/>
    <w:rsid w:val="00604B68"/>
    <w:rsid w:val="00607478"/>
    <w:rsid w:val="00610798"/>
    <w:rsid w:val="00610CB4"/>
    <w:rsid w:val="00612148"/>
    <w:rsid w:val="00612E4D"/>
    <w:rsid w:val="00616DBF"/>
    <w:rsid w:val="00621660"/>
    <w:rsid w:val="00622A21"/>
    <w:rsid w:val="00623BE7"/>
    <w:rsid w:val="006266BC"/>
    <w:rsid w:val="00627EEA"/>
    <w:rsid w:val="00633490"/>
    <w:rsid w:val="00646D75"/>
    <w:rsid w:val="00656782"/>
    <w:rsid w:val="00661820"/>
    <w:rsid w:val="006632BB"/>
    <w:rsid w:val="00663354"/>
    <w:rsid w:val="006701DC"/>
    <w:rsid w:val="00671B5D"/>
    <w:rsid w:val="0068207F"/>
    <w:rsid w:val="00682729"/>
    <w:rsid w:val="006830CC"/>
    <w:rsid w:val="00683775"/>
    <w:rsid w:val="00683BF2"/>
    <w:rsid w:val="00685FE5"/>
    <w:rsid w:val="006907E4"/>
    <w:rsid w:val="006915B8"/>
    <w:rsid w:val="0069683C"/>
    <w:rsid w:val="00697A44"/>
    <w:rsid w:val="006A4B50"/>
    <w:rsid w:val="006A6A05"/>
    <w:rsid w:val="006A7096"/>
    <w:rsid w:val="006B0A90"/>
    <w:rsid w:val="006B3AB5"/>
    <w:rsid w:val="006C57C2"/>
    <w:rsid w:val="006C7D61"/>
    <w:rsid w:val="006D3A54"/>
    <w:rsid w:val="006F3363"/>
    <w:rsid w:val="006F4E59"/>
    <w:rsid w:val="007147B5"/>
    <w:rsid w:val="00716CC9"/>
    <w:rsid w:val="00717363"/>
    <w:rsid w:val="007252DC"/>
    <w:rsid w:val="00726A2C"/>
    <w:rsid w:val="007369A4"/>
    <w:rsid w:val="00737A25"/>
    <w:rsid w:val="007405B2"/>
    <w:rsid w:val="00741691"/>
    <w:rsid w:val="00743F4D"/>
    <w:rsid w:val="00747DDA"/>
    <w:rsid w:val="00762FAB"/>
    <w:rsid w:val="00765974"/>
    <w:rsid w:val="007665AF"/>
    <w:rsid w:val="00770320"/>
    <w:rsid w:val="007736A6"/>
    <w:rsid w:val="00786DAE"/>
    <w:rsid w:val="007921E6"/>
    <w:rsid w:val="00793AC1"/>
    <w:rsid w:val="00795155"/>
    <w:rsid w:val="0079639A"/>
    <w:rsid w:val="007B6D29"/>
    <w:rsid w:val="007B7949"/>
    <w:rsid w:val="007C0058"/>
    <w:rsid w:val="007C42E9"/>
    <w:rsid w:val="007F0AD1"/>
    <w:rsid w:val="00806912"/>
    <w:rsid w:val="008142AC"/>
    <w:rsid w:val="00820FDC"/>
    <w:rsid w:val="008216A2"/>
    <w:rsid w:val="008221F1"/>
    <w:rsid w:val="00824789"/>
    <w:rsid w:val="00833A28"/>
    <w:rsid w:val="00835EB3"/>
    <w:rsid w:val="008376FA"/>
    <w:rsid w:val="00840333"/>
    <w:rsid w:val="00847FF5"/>
    <w:rsid w:val="008522FC"/>
    <w:rsid w:val="008633B4"/>
    <w:rsid w:val="00863A61"/>
    <w:rsid w:val="00863F0F"/>
    <w:rsid w:val="00866A52"/>
    <w:rsid w:val="00875D20"/>
    <w:rsid w:val="008762B1"/>
    <w:rsid w:val="0088062A"/>
    <w:rsid w:val="0088105C"/>
    <w:rsid w:val="00883783"/>
    <w:rsid w:val="0088710A"/>
    <w:rsid w:val="00894421"/>
    <w:rsid w:val="008945F7"/>
    <w:rsid w:val="008A1086"/>
    <w:rsid w:val="008A1705"/>
    <w:rsid w:val="008A2F37"/>
    <w:rsid w:val="008B3CDB"/>
    <w:rsid w:val="008B4C94"/>
    <w:rsid w:val="008C3634"/>
    <w:rsid w:val="008D0ABB"/>
    <w:rsid w:val="008D0D7A"/>
    <w:rsid w:val="008D6F34"/>
    <w:rsid w:val="008E0679"/>
    <w:rsid w:val="008E17EF"/>
    <w:rsid w:val="008E2091"/>
    <w:rsid w:val="008E3647"/>
    <w:rsid w:val="008F2238"/>
    <w:rsid w:val="008F31AA"/>
    <w:rsid w:val="008F394B"/>
    <w:rsid w:val="00903D1E"/>
    <w:rsid w:val="0090478D"/>
    <w:rsid w:val="009146CA"/>
    <w:rsid w:val="009176AE"/>
    <w:rsid w:val="009320AC"/>
    <w:rsid w:val="00932692"/>
    <w:rsid w:val="00934028"/>
    <w:rsid w:val="009340D2"/>
    <w:rsid w:val="00935547"/>
    <w:rsid w:val="009368DF"/>
    <w:rsid w:val="00942D22"/>
    <w:rsid w:val="00946ED3"/>
    <w:rsid w:val="009475BC"/>
    <w:rsid w:val="009528B1"/>
    <w:rsid w:val="009578E0"/>
    <w:rsid w:val="00962043"/>
    <w:rsid w:val="009636B5"/>
    <w:rsid w:val="0096597C"/>
    <w:rsid w:val="00971F81"/>
    <w:rsid w:val="00973886"/>
    <w:rsid w:val="009741DC"/>
    <w:rsid w:val="00975CD9"/>
    <w:rsid w:val="009865AD"/>
    <w:rsid w:val="0099242F"/>
    <w:rsid w:val="00992819"/>
    <w:rsid w:val="0099293A"/>
    <w:rsid w:val="009A16EB"/>
    <w:rsid w:val="009A3CCB"/>
    <w:rsid w:val="009A5F1B"/>
    <w:rsid w:val="009A5FC2"/>
    <w:rsid w:val="009A602E"/>
    <w:rsid w:val="009A63A6"/>
    <w:rsid w:val="009A65A9"/>
    <w:rsid w:val="009B2262"/>
    <w:rsid w:val="009B39E6"/>
    <w:rsid w:val="009C33AA"/>
    <w:rsid w:val="009D49DE"/>
    <w:rsid w:val="009D58DF"/>
    <w:rsid w:val="009E7223"/>
    <w:rsid w:val="009F3EE2"/>
    <w:rsid w:val="009F5B82"/>
    <w:rsid w:val="00A043C7"/>
    <w:rsid w:val="00A04CE9"/>
    <w:rsid w:val="00A06B62"/>
    <w:rsid w:val="00A16549"/>
    <w:rsid w:val="00A22BF5"/>
    <w:rsid w:val="00A25DDD"/>
    <w:rsid w:val="00A31A9D"/>
    <w:rsid w:val="00A40747"/>
    <w:rsid w:val="00A40E1A"/>
    <w:rsid w:val="00A44956"/>
    <w:rsid w:val="00A53686"/>
    <w:rsid w:val="00A54708"/>
    <w:rsid w:val="00A60947"/>
    <w:rsid w:val="00A60EC7"/>
    <w:rsid w:val="00A60F72"/>
    <w:rsid w:val="00A64988"/>
    <w:rsid w:val="00A64A65"/>
    <w:rsid w:val="00A668F1"/>
    <w:rsid w:val="00A72951"/>
    <w:rsid w:val="00A73C57"/>
    <w:rsid w:val="00A80645"/>
    <w:rsid w:val="00A824FE"/>
    <w:rsid w:val="00A82997"/>
    <w:rsid w:val="00A82D84"/>
    <w:rsid w:val="00AA6B74"/>
    <w:rsid w:val="00AA6CFE"/>
    <w:rsid w:val="00AB020F"/>
    <w:rsid w:val="00AB5878"/>
    <w:rsid w:val="00AB7720"/>
    <w:rsid w:val="00AC1CEF"/>
    <w:rsid w:val="00AC21EF"/>
    <w:rsid w:val="00AC6A48"/>
    <w:rsid w:val="00AD2A41"/>
    <w:rsid w:val="00AD6316"/>
    <w:rsid w:val="00AD64E4"/>
    <w:rsid w:val="00AE4CCD"/>
    <w:rsid w:val="00AF18C2"/>
    <w:rsid w:val="00AF1DA2"/>
    <w:rsid w:val="00AF353F"/>
    <w:rsid w:val="00AF54AE"/>
    <w:rsid w:val="00AF6314"/>
    <w:rsid w:val="00B0088B"/>
    <w:rsid w:val="00B01700"/>
    <w:rsid w:val="00B02560"/>
    <w:rsid w:val="00B06456"/>
    <w:rsid w:val="00B06A89"/>
    <w:rsid w:val="00B13C38"/>
    <w:rsid w:val="00B16982"/>
    <w:rsid w:val="00B17FA4"/>
    <w:rsid w:val="00B2079A"/>
    <w:rsid w:val="00B22C48"/>
    <w:rsid w:val="00B25502"/>
    <w:rsid w:val="00B41785"/>
    <w:rsid w:val="00B4295E"/>
    <w:rsid w:val="00B456C2"/>
    <w:rsid w:val="00B4582D"/>
    <w:rsid w:val="00B515AD"/>
    <w:rsid w:val="00B53A52"/>
    <w:rsid w:val="00B53FE7"/>
    <w:rsid w:val="00B61766"/>
    <w:rsid w:val="00B67D6F"/>
    <w:rsid w:val="00B75C08"/>
    <w:rsid w:val="00B7775E"/>
    <w:rsid w:val="00BA0698"/>
    <w:rsid w:val="00BA118C"/>
    <w:rsid w:val="00BA1FD3"/>
    <w:rsid w:val="00BA3D5A"/>
    <w:rsid w:val="00BA4F7A"/>
    <w:rsid w:val="00BB673E"/>
    <w:rsid w:val="00BC4A60"/>
    <w:rsid w:val="00BC4E7E"/>
    <w:rsid w:val="00BC7A85"/>
    <w:rsid w:val="00BD5523"/>
    <w:rsid w:val="00BD56EC"/>
    <w:rsid w:val="00BE3688"/>
    <w:rsid w:val="00BE3B04"/>
    <w:rsid w:val="00BE526C"/>
    <w:rsid w:val="00BE5E9F"/>
    <w:rsid w:val="00BF073A"/>
    <w:rsid w:val="00BF11C9"/>
    <w:rsid w:val="00BF25E6"/>
    <w:rsid w:val="00BF452B"/>
    <w:rsid w:val="00C01275"/>
    <w:rsid w:val="00C03648"/>
    <w:rsid w:val="00C06217"/>
    <w:rsid w:val="00C10144"/>
    <w:rsid w:val="00C104D5"/>
    <w:rsid w:val="00C262AF"/>
    <w:rsid w:val="00C2689C"/>
    <w:rsid w:val="00C27B3D"/>
    <w:rsid w:val="00C32799"/>
    <w:rsid w:val="00C34580"/>
    <w:rsid w:val="00C3770B"/>
    <w:rsid w:val="00C42F2F"/>
    <w:rsid w:val="00C5463B"/>
    <w:rsid w:val="00C57B4F"/>
    <w:rsid w:val="00C61072"/>
    <w:rsid w:val="00C61BC7"/>
    <w:rsid w:val="00C737E4"/>
    <w:rsid w:val="00C748A2"/>
    <w:rsid w:val="00C778DA"/>
    <w:rsid w:val="00C77CC7"/>
    <w:rsid w:val="00C811BC"/>
    <w:rsid w:val="00C9045E"/>
    <w:rsid w:val="00C94CD0"/>
    <w:rsid w:val="00C954E8"/>
    <w:rsid w:val="00C95D1F"/>
    <w:rsid w:val="00CA0511"/>
    <w:rsid w:val="00CA2EE0"/>
    <w:rsid w:val="00CA6F8D"/>
    <w:rsid w:val="00CA7147"/>
    <w:rsid w:val="00CB01EF"/>
    <w:rsid w:val="00CC3BE6"/>
    <w:rsid w:val="00CC6282"/>
    <w:rsid w:val="00CD31D7"/>
    <w:rsid w:val="00CD4961"/>
    <w:rsid w:val="00CD5B97"/>
    <w:rsid w:val="00CD5DE4"/>
    <w:rsid w:val="00CE7055"/>
    <w:rsid w:val="00CF06C5"/>
    <w:rsid w:val="00CF3F22"/>
    <w:rsid w:val="00CF65BA"/>
    <w:rsid w:val="00D0453B"/>
    <w:rsid w:val="00D14D50"/>
    <w:rsid w:val="00D164F4"/>
    <w:rsid w:val="00D17A31"/>
    <w:rsid w:val="00D23A0F"/>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53E7"/>
    <w:rsid w:val="00DE6430"/>
    <w:rsid w:val="00E1308F"/>
    <w:rsid w:val="00E132CF"/>
    <w:rsid w:val="00E160E3"/>
    <w:rsid w:val="00E2356A"/>
    <w:rsid w:val="00E25273"/>
    <w:rsid w:val="00E25745"/>
    <w:rsid w:val="00E32A3F"/>
    <w:rsid w:val="00E36CF5"/>
    <w:rsid w:val="00E57C5B"/>
    <w:rsid w:val="00E619DC"/>
    <w:rsid w:val="00E83623"/>
    <w:rsid w:val="00E932BB"/>
    <w:rsid w:val="00E95623"/>
    <w:rsid w:val="00E95C32"/>
    <w:rsid w:val="00E963C5"/>
    <w:rsid w:val="00E96467"/>
    <w:rsid w:val="00E9780E"/>
    <w:rsid w:val="00EA1F99"/>
    <w:rsid w:val="00EB08B9"/>
    <w:rsid w:val="00EB0E96"/>
    <w:rsid w:val="00EB14B0"/>
    <w:rsid w:val="00EB3A58"/>
    <w:rsid w:val="00EB749E"/>
    <w:rsid w:val="00EC08FD"/>
    <w:rsid w:val="00ED785D"/>
    <w:rsid w:val="00EE0720"/>
    <w:rsid w:val="00EF11A7"/>
    <w:rsid w:val="00EF1217"/>
    <w:rsid w:val="00EF1BB0"/>
    <w:rsid w:val="00EF2BCE"/>
    <w:rsid w:val="00EF365F"/>
    <w:rsid w:val="00EF5A3C"/>
    <w:rsid w:val="00EF7AB1"/>
    <w:rsid w:val="00F01B0D"/>
    <w:rsid w:val="00F01EF2"/>
    <w:rsid w:val="00F0474F"/>
    <w:rsid w:val="00F04770"/>
    <w:rsid w:val="00F0715C"/>
    <w:rsid w:val="00F076BF"/>
    <w:rsid w:val="00F10195"/>
    <w:rsid w:val="00F15235"/>
    <w:rsid w:val="00F22513"/>
    <w:rsid w:val="00F22E41"/>
    <w:rsid w:val="00F238D9"/>
    <w:rsid w:val="00F23D46"/>
    <w:rsid w:val="00F26AF6"/>
    <w:rsid w:val="00F3243E"/>
    <w:rsid w:val="00F32A6A"/>
    <w:rsid w:val="00F343D3"/>
    <w:rsid w:val="00F35735"/>
    <w:rsid w:val="00F35E7B"/>
    <w:rsid w:val="00F365FB"/>
    <w:rsid w:val="00F37395"/>
    <w:rsid w:val="00F4010A"/>
    <w:rsid w:val="00F42E45"/>
    <w:rsid w:val="00F431F7"/>
    <w:rsid w:val="00F4691D"/>
    <w:rsid w:val="00F57885"/>
    <w:rsid w:val="00F603E5"/>
    <w:rsid w:val="00F631C4"/>
    <w:rsid w:val="00F7112F"/>
    <w:rsid w:val="00F75AF5"/>
    <w:rsid w:val="00F774A4"/>
    <w:rsid w:val="00F83CAE"/>
    <w:rsid w:val="00F8603C"/>
    <w:rsid w:val="00F97B27"/>
    <w:rsid w:val="00FA3F63"/>
    <w:rsid w:val="00FA7F57"/>
    <w:rsid w:val="00FB1802"/>
    <w:rsid w:val="00FB27F3"/>
    <w:rsid w:val="00FC5274"/>
    <w:rsid w:val="00FD349F"/>
    <w:rsid w:val="00FD4014"/>
    <w:rsid w:val="00FD52A9"/>
    <w:rsid w:val="00FD7792"/>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735C9-2CF6-4184-BD51-425CFEDF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375689242">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20</c:v>
                </c:pt>
                <c:pt idx="1">
                  <c:v>5</c:v>
                </c:pt>
              </c:numCache>
            </c:numRef>
          </c:val>
          <c:extLst xmlns:c16r2="http://schemas.microsoft.com/office/drawing/2015/06/char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286567184"/>
        <c:axId val="286568360"/>
      </c:barChart>
      <c:catAx>
        <c:axId val="286567184"/>
        <c:scaling>
          <c:orientation val="minMax"/>
        </c:scaling>
        <c:delete val="0"/>
        <c:axPos val="l"/>
        <c:numFmt formatCode="General" sourceLinked="1"/>
        <c:majorTickMark val="out"/>
        <c:minorTickMark val="none"/>
        <c:tickLblPos val="nextTo"/>
        <c:crossAx val="286568360"/>
        <c:crosses val="autoZero"/>
        <c:auto val="1"/>
        <c:lblAlgn val="ctr"/>
        <c:lblOffset val="100"/>
        <c:noMultiLvlLbl val="0"/>
      </c:catAx>
      <c:valAx>
        <c:axId val="286568360"/>
        <c:scaling>
          <c:orientation val="minMax"/>
        </c:scaling>
        <c:delete val="0"/>
        <c:axPos val="b"/>
        <c:majorGridlines/>
        <c:numFmt formatCode="General" sourceLinked="1"/>
        <c:majorTickMark val="out"/>
        <c:minorTickMark val="none"/>
        <c:tickLblPos val="nextTo"/>
        <c:crossAx val="286567184"/>
        <c:crosses val="autoZero"/>
        <c:crossBetween val="between"/>
      </c:valAx>
      <c:dTable>
        <c:showHorzBorder val="1"/>
        <c:showVertBorder val="1"/>
        <c:showOutline val="1"/>
        <c:showKeys val="1"/>
      </c:dTable>
    </c:plotArea>
    <c:legend>
      <c:legendPos val="r"/>
      <c:layout/>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13</c:v>
                </c:pt>
                <c:pt idx="1">
                  <c:v>5</c:v>
                </c:pt>
                <c:pt idx="2">
                  <c:v>7</c:v>
                </c:pt>
                <c:pt idx="3">
                  <c:v>2</c:v>
                </c:pt>
                <c:pt idx="4">
                  <c:v>0</c:v>
                </c:pt>
              </c:numCache>
            </c:numRef>
          </c:val>
          <c:extLst xmlns:c16r2="http://schemas.microsoft.com/office/drawing/2015/06/char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Hoja1!$D$2:$D$6</c:f>
              <c:numCache>
                <c:formatCode>General</c:formatCode>
                <c:ptCount val="5"/>
                <c:pt idx="0">
                  <c:v>1</c:v>
                </c:pt>
                <c:pt idx="1">
                  <c:v>0</c:v>
                </c:pt>
                <c:pt idx="2">
                  <c:v>1</c:v>
                </c:pt>
                <c:pt idx="3">
                  <c:v>0</c:v>
                </c:pt>
                <c:pt idx="4">
                  <c:v>0</c:v>
                </c:pt>
              </c:numCache>
            </c:numRef>
          </c:val>
          <c:extLst xmlns:c16r2="http://schemas.microsoft.com/office/drawing/2015/06/char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287888696"/>
        <c:axId val="287885952"/>
      </c:barChart>
      <c:catAx>
        <c:axId val="28788869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87885952"/>
        <c:crosses val="autoZero"/>
        <c:auto val="1"/>
        <c:lblAlgn val="ctr"/>
        <c:lblOffset val="100"/>
        <c:noMultiLvlLbl val="0"/>
      </c:catAx>
      <c:valAx>
        <c:axId val="287885952"/>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87888696"/>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Hoja1!$C$2:$C$7</c:f>
              <c:numCache>
                <c:formatCode>General</c:formatCode>
                <c:ptCount val="6"/>
                <c:pt idx="0">
                  <c:v>13</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287882424"/>
        <c:axId val="287883600"/>
      </c:barChart>
      <c:catAx>
        <c:axId val="287882424"/>
        <c:scaling>
          <c:orientation val="minMax"/>
        </c:scaling>
        <c:delete val="0"/>
        <c:axPos val="l"/>
        <c:numFmt formatCode="General" sourceLinked="1"/>
        <c:majorTickMark val="out"/>
        <c:minorTickMark val="none"/>
        <c:tickLblPos val="nextTo"/>
        <c:crossAx val="287883600"/>
        <c:crosses val="autoZero"/>
        <c:auto val="1"/>
        <c:lblAlgn val="ctr"/>
        <c:lblOffset val="100"/>
        <c:noMultiLvlLbl val="0"/>
      </c:catAx>
      <c:valAx>
        <c:axId val="287883600"/>
        <c:scaling>
          <c:orientation val="minMax"/>
        </c:scaling>
        <c:delete val="0"/>
        <c:axPos val="b"/>
        <c:majorGridlines/>
        <c:numFmt formatCode="General" sourceLinked="1"/>
        <c:majorTickMark val="out"/>
        <c:minorTickMark val="none"/>
        <c:tickLblPos val="nextTo"/>
        <c:crossAx val="287882424"/>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16" cap="flat" cmpd="sng" algn="ctr">
              <a:solidFill>
                <a:schemeClr val="accent1">
                  <a:shade val="95000"/>
                </a:schemeClr>
              </a:solidFill>
              <a:round/>
            </a:ln>
            <a:effectLst/>
          </c:spPr>
          <c:invertIfNegative val="0"/>
          <c:cat>
            <c:strRef>
              <c:f>Hoja1!$A$2</c:f>
              <c:strCache>
                <c:ptCount val="1"/>
                <c:pt idx="0">
                  <c:v>Seis talleres "Prevención de violencia" en Población abierta.</c:v>
                </c:pt>
              </c:strCache>
            </c:strRef>
          </c:cat>
          <c:val>
            <c:numRef>
              <c:f>Hoja1!$B$2</c:f>
              <c:numCache>
                <c:formatCode>General</c:formatCode>
                <c:ptCount val="1"/>
                <c:pt idx="0">
                  <c:v>91</c:v>
                </c:pt>
              </c:numCache>
            </c:numRef>
          </c:val>
        </c:ser>
        <c:ser>
          <c:idx val="1"/>
          <c:order val="1"/>
          <c:tx>
            <c:strRef>
              <c:f>Hoja1!$C$1</c:f>
              <c:strCache>
                <c:ptCount val="1"/>
                <c:pt idx="0">
                  <c:v>HOMBRES</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16" cap="flat" cmpd="sng" algn="ctr">
              <a:solidFill>
                <a:schemeClr val="accent2">
                  <a:shade val="95000"/>
                </a:schemeClr>
              </a:solidFill>
              <a:round/>
            </a:ln>
            <a:effectLst/>
          </c:spPr>
          <c:invertIfNegative val="0"/>
          <c:cat>
            <c:strRef>
              <c:f>Hoja1!$A$2</c:f>
              <c:strCache>
                <c:ptCount val="1"/>
                <c:pt idx="0">
                  <c:v>Seis talleres "Prevención de violencia" en Población abierta.</c:v>
                </c:pt>
              </c:strCache>
            </c:strRef>
          </c:cat>
          <c:val>
            <c:numRef>
              <c:f>Hoja1!$C$2</c:f>
              <c:numCache>
                <c:formatCode>General</c:formatCode>
                <c:ptCount val="1"/>
                <c:pt idx="0">
                  <c:v>0</c:v>
                </c:pt>
              </c:numCache>
            </c:numRef>
          </c:val>
        </c:ser>
        <c:dLbls>
          <c:showLegendKey val="0"/>
          <c:showVal val="0"/>
          <c:showCatName val="0"/>
          <c:showSerName val="0"/>
          <c:showPercent val="0"/>
          <c:showBubbleSize val="0"/>
        </c:dLbls>
        <c:gapWidth val="100"/>
        <c:overlap val="-24"/>
        <c:axId val="288829456"/>
        <c:axId val="288825536"/>
      </c:barChart>
      <c:catAx>
        <c:axId val="288829456"/>
        <c:scaling>
          <c:orientation val="minMax"/>
        </c:scaling>
        <c:delete val="0"/>
        <c:axPos val="b"/>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50000"/>
                    <a:lumOff val="50000"/>
                  </a:schemeClr>
                </a:solidFill>
                <a:latin typeface="+mn-lt"/>
                <a:ea typeface="+mn-ea"/>
                <a:cs typeface="+mn-cs"/>
              </a:defRPr>
            </a:pPr>
            <a:endParaRPr lang="es-MX"/>
          </a:p>
        </c:txPr>
        <c:crossAx val="288825536"/>
        <c:crosses val="autoZero"/>
        <c:auto val="1"/>
        <c:lblAlgn val="ctr"/>
        <c:lblOffset val="100"/>
        <c:noMultiLvlLbl val="0"/>
      </c:catAx>
      <c:valAx>
        <c:axId val="288825536"/>
        <c:scaling>
          <c:orientation val="minMax"/>
        </c:scaling>
        <c:delete val="0"/>
        <c:axPos val="l"/>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50000"/>
                    <a:lumOff val="50000"/>
                  </a:schemeClr>
                </a:solidFill>
                <a:latin typeface="+mn-lt"/>
                <a:ea typeface="+mn-ea"/>
                <a:cs typeface="+mn-cs"/>
              </a:defRPr>
            </a:pPr>
            <a:endParaRPr lang="es-MX"/>
          </a:p>
        </c:txPr>
        <c:crossAx val="288829456"/>
        <c:crosses val="autoZero"/>
        <c:crossBetween val="between"/>
      </c:valAx>
      <c:dTable>
        <c:showHorzBorder val="1"/>
        <c:showVertBorder val="1"/>
        <c:showOutline val="1"/>
        <c:showKeys val="1"/>
        <c:spPr>
          <a:noFill/>
          <a:ln w="9516">
            <a:solidFill>
              <a:schemeClr val="tx1">
                <a:lumMod val="15000"/>
                <a:lumOff val="85000"/>
              </a:schemeClr>
            </a:solidFill>
          </a:ln>
          <a:effectLst/>
        </c:spPr>
        <c:txPr>
          <a:bodyPr rot="0" spcFirstLastPara="1" vertOverflow="ellipsis" vert="horz" wrap="square" anchor="ctr" anchorCtr="1"/>
          <a:lstStyle/>
          <a:p>
            <a:pPr rtl="0">
              <a:defRPr sz="899" b="0" i="0" u="none" strike="noStrike" kern="1200" baseline="0">
                <a:solidFill>
                  <a:schemeClr val="tx1"/>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es-MX" b="1"/>
              <a:t>EDADES</a:t>
            </a:r>
          </a:p>
        </c:rich>
      </c:tx>
      <c:layout/>
      <c:overlay val="0"/>
      <c:spPr>
        <a:noFill/>
        <a:ln w="25385">
          <a:noFill/>
        </a:ln>
      </c:spPr>
    </c:title>
    <c:autoTitleDeleted val="0"/>
    <c:plotArea>
      <c:layout>
        <c:manualLayout>
          <c:layoutTarget val="inner"/>
          <c:xMode val="edge"/>
          <c:yMode val="edge"/>
          <c:x val="0.2285607973180129"/>
          <c:y val="6.4753468316460436E-2"/>
          <c:w val="0.75064197564559199"/>
          <c:h val="0.66345546092452734"/>
        </c:manualLayout>
      </c:layout>
      <c:barChart>
        <c:barDir val="col"/>
        <c:grouping val="clustered"/>
        <c:varyColors val="0"/>
        <c:ser>
          <c:idx val="0"/>
          <c:order val="0"/>
          <c:tx>
            <c:strRef>
              <c:f>Hoja1!$B$1</c:f>
              <c:strCache>
                <c:ptCount val="1"/>
                <c:pt idx="0">
                  <c:v>0 A 14 AÑOS</c:v>
                </c:pt>
              </c:strCache>
            </c:strRef>
          </c:tx>
          <c:spPr>
            <a:solidFill>
              <a:srgbClr val="5B9BD5"/>
            </a:solidFill>
            <a:ln w="25385">
              <a:noFill/>
            </a:ln>
          </c:spPr>
          <c:invertIfNegative val="0"/>
          <c:cat>
            <c:strRef>
              <c:f>Hoja1!$A$2</c:f>
              <c:strCache>
                <c:ptCount val="1"/>
                <c:pt idx="0">
                  <c:v>Mujeres</c:v>
                </c:pt>
              </c:strCache>
            </c:strRef>
          </c:cat>
          <c:val>
            <c:numRef>
              <c:f>Hoja1!$B$2</c:f>
              <c:numCache>
                <c:formatCode>General</c:formatCode>
                <c:ptCount val="1"/>
                <c:pt idx="0">
                  <c:v>0</c:v>
                </c:pt>
              </c:numCache>
            </c:numRef>
          </c:val>
        </c:ser>
        <c:ser>
          <c:idx val="1"/>
          <c:order val="1"/>
          <c:tx>
            <c:strRef>
              <c:f>Hoja1!$C$1</c:f>
              <c:strCache>
                <c:ptCount val="1"/>
                <c:pt idx="0">
                  <c:v>15 A 29 AÑOS</c:v>
                </c:pt>
              </c:strCache>
            </c:strRef>
          </c:tx>
          <c:spPr>
            <a:solidFill>
              <a:srgbClr val="ED7D31"/>
            </a:solidFill>
            <a:ln w="25385">
              <a:noFill/>
            </a:ln>
          </c:spPr>
          <c:invertIfNegative val="0"/>
          <c:cat>
            <c:strRef>
              <c:f>Hoja1!$A$2</c:f>
              <c:strCache>
                <c:ptCount val="1"/>
                <c:pt idx="0">
                  <c:v>Mujeres</c:v>
                </c:pt>
              </c:strCache>
            </c:strRef>
          </c:cat>
          <c:val>
            <c:numRef>
              <c:f>Hoja1!$C$2</c:f>
              <c:numCache>
                <c:formatCode>General</c:formatCode>
                <c:ptCount val="1"/>
                <c:pt idx="0">
                  <c:v>2</c:v>
                </c:pt>
              </c:numCache>
            </c:numRef>
          </c:val>
        </c:ser>
        <c:ser>
          <c:idx val="2"/>
          <c:order val="2"/>
          <c:tx>
            <c:strRef>
              <c:f>Hoja1!$D$1</c:f>
              <c:strCache>
                <c:ptCount val="1"/>
                <c:pt idx="0">
                  <c:v>30 A 44 AÑOS</c:v>
                </c:pt>
              </c:strCache>
            </c:strRef>
          </c:tx>
          <c:spPr>
            <a:solidFill>
              <a:srgbClr val="A5A5A5"/>
            </a:solidFill>
            <a:ln w="25385">
              <a:noFill/>
            </a:ln>
          </c:spPr>
          <c:invertIfNegative val="0"/>
          <c:cat>
            <c:strRef>
              <c:f>Hoja1!$A$2</c:f>
              <c:strCache>
                <c:ptCount val="1"/>
                <c:pt idx="0">
                  <c:v>Mujeres</c:v>
                </c:pt>
              </c:strCache>
            </c:strRef>
          </c:cat>
          <c:val>
            <c:numRef>
              <c:f>Hoja1!$D$2</c:f>
              <c:numCache>
                <c:formatCode>General</c:formatCode>
                <c:ptCount val="1"/>
                <c:pt idx="0">
                  <c:v>28</c:v>
                </c:pt>
              </c:numCache>
            </c:numRef>
          </c:val>
        </c:ser>
        <c:ser>
          <c:idx val="3"/>
          <c:order val="3"/>
          <c:tx>
            <c:strRef>
              <c:f>Hoja1!$E$1</c:f>
              <c:strCache>
                <c:ptCount val="1"/>
                <c:pt idx="0">
                  <c:v>45 A 59 AÑOS</c:v>
                </c:pt>
              </c:strCache>
            </c:strRef>
          </c:tx>
          <c:spPr>
            <a:solidFill>
              <a:srgbClr val="FFC000"/>
            </a:solidFill>
            <a:ln w="25385">
              <a:noFill/>
            </a:ln>
          </c:spPr>
          <c:invertIfNegative val="0"/>
          <c:cat>
            <c:strRef>
              <c:f>Hoja1!$A$2</c:f>
              <c:strCache>
                <c:ptCount val="1"/>
                <c:pt idx="0">
                  <c:v>Mujeres</c:v>
                </c:pt>
              </c:strCache>
            </c:strRef>
          </c:cat>
          <c:val>
            <c:numRef>
              <c:f>Hoja1!$E$2</c:f>
              <c:numCache>
                <c:formatCode>General</c:formatCode>
                <c:ptCount val="1"/>
                <c:pt idx="0">
                  <c:v>21</c:v>
                </c:pt>
              </c:numCache>
            </c:numRef>
          </c:val>
        </c:ser>
        <c:ser>
          <c:idx val="4"/>
          <c:order val="4"/>
          <c:tx>
            <c:strRef>
              <c:f>Hoja1!$F$1</c:f>
              <c:strCache>
                <c:ptCount val="1"/>
                <c:pt idx="0">
                  <c:v>60 O MAS AÑOS</c:v>
                </c:pt>
              </c:strCache>
            </c:strRef>
          </c:tx>
          <c:spPr>
            <a:solidFill>
              <a:srgbClr val="4472C4"/>
            </a:solidFill>
            <a:ln w="25385">
              <a:noFill/>
            </a:ln>
          </c:spPr>
          <c:invertIfNegative val="0"/>
          <c:cat>
            <c:strRef>
              <c:f>Hoja1!$A$2</c:f>
              <c:strCache>
                <c:ptCount val="1"/>
                <c:pt idx="0">
                  <c:v>Mujeres</c:v>
                </c:pt>
              </c:strCache>
            </c:strRef>
          </c:cat>
          <c:val>
            <c:numRef>
              <c:f>Hoja1!$F$2</c:f>
              <c:numCache>
                <c:formatCode>General</c:formatCode>
                <c:ptCount val="1"/>
                <c:pt idx="0">
                  <c:v>1</c:v>
                </c:pt>
              </c:numCache>
            </c:numRef>
          </c:val>
        </c:ser>
        <c:ser>
          <c:idx val="5"/>
          <c:order val="5"/>
          <c:tx>
            <c:strRef>
              <c:f>Hoja1!$G$1</c:f>
              <c:strCache>
                <c:ptCount val="1"/>
                <c:pt idx="0">
                  <c:v>NP</c:v>
                </c:pt>
              </c:strCache>
            </c:strRef>
          </c:tx>
          <c:invertIfNegative val="0"/>
          <c:cat>
            <c:strRef>
              <c:f>Hoja1!$A$2</c:f>
              <c:strCache>
                <c:ptCount val="1"/>
                <c:pt idx="0">
                  <c:v>Mujeres</c:v>
                </c:pt>
              </c:strCache>
            </c:strRef>
          </c:cat>
          <c:val>
            <c:numRef>
              <c:f>Hoja1!$G$2</c:f>
              <c:numCache>
                <c:formatCode>General</c:formatCode>
                <c:ptCount val="1"/>
                <c:pt idx="0">
                  <c:v>39</c:v>
                </c:pt>
              </c:numCache>
            </c:numRef>
          </c:val>
        </c:ser>
        <c:dLbls>
          <c:showLegendKey val="0"/>
          <c:showVal val="0"/>
          <c:showCatName val="0"/>
          <c:showSerName val="0"/>
          <c:showPercent val="0"/>
          <c:showBubbleSize val="0"/>
        </c:dLbls>
        <c:gapWidth val="219"/>
        <c:overlap val="-27"/>
        <c:axId val="288830632"/>
        <c:axId val="288826712"/>
      </c:barChart>
      <c:catAx>
        <c:axId val="288830632"/>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88826712"/>
        <c:crosses val="autoZero"/>
        <c:auto val="1"/>
        <c:lblAlgn val="ctr"/>
        <c:lblOffset val="100"/>
        <c:noMultiLvlLbl val="0"/>
      </c:catAx>
      <c:valAx>
        <c:axId val="288826712"/>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ln w="6346">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88830632"/>
        <c:crosses val="autoZero"/>
        <c:crossBetween val="between"/>
      </c:valAx>
      <c:dTable>
        <c:showHorzBorder val="1"/>
        <c:showVertBorder val="1"/>
        <c:showOutline val="1"/>
        <c:showKeys val="1"/>
        <c:txPr>
          <a:bodyPr/>
          <a:lstStyle/>
          <a:p>
            <a:pPr rtl="0">
              <a:defRPr>
                <a:solidFill>
                  <a:schemeClr val="tx1"/>
                </a:solidFill>
              </a:defRPr>
            </a:pPr>
            <a:endParaRPr lang="es-MX"/>
          </a:p>
        </c:txPr>
      </c:dTable>
      <c:spPr>
        <a:noFill/>
        <a:ln w="25385">
          <a:noFill/>
        </a:ln>
      </c:spPr>
    </c:plotArea>
    <c:legend>
      <c:legendPos val="b"/>
      <c:layout/>
      <c:overlay val="0"/>
      <c:spPr>
        <a:noFill/>
        <a:ln w="25385">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Ocupación</a:t>
            </a:r>
            <a:r>
              <a:rPr lang="en-US" baseline="0"/>
              <a:t> talleres </a:t>
            </a:r>
            <a:r>
              <a:rPr lang="en-US"/>
              <a:t>"Prevenció</a:t>
            </a:r>
            <a:r>
              <a:rPr lang="en-US" baseline="0"/>
              <a:t>n de violencia</a:t>
            </a:r>
            <a:r>
              <a:rPr lang="en-US"/>
              <a:t>"</a:t>
            </a:r>
          </a:p>
        </c:rich>
      </c:tx>
      <c:layout>
        <c:manualLayout>
          <c:xMode val="edge"/>
          <c:yMode val="edge"/>
          <c:x val="0.21266064695817069"/>
          <c:y val="0"/>
        </c:manualLayout>
      </c:layout>
      <c:overlay val="0"/>
    </c:title>
    <c:autoTitleDeleted val="0"/>
    <c:plotArea>
      <c:layout>
        <c:manualLayout>
          <c:layoutTarget val="inner"/>
          <c:xMode val="edge"/>
          <c:yMode val="edge"/>
          <c:x val="0.30679457962035511"/>
          <c:y val="2.9920636775002531E-2"/>
          <c:w val="0.66085417832303028"/>
          <c:h val="0.7872900457175791"/>
        </c:manualLayout>
      </c:layout>
      <c:barChart>
        <c:barDir val="col"/>
        <c:grouping val="clustered"/>
        <c:varyColors val="0"/>
        <c:ser>
          <c:idx val="0"/>
          <c:order val="0"/>
          <c:tx>
            <c:strRef>
              <c:f>Hoja1!$B$1</c:f>
              <c:strCache>
                <c:ptCount val="1"/>
                <c:pt idx="0">
                  <c:v>6 Talleres Población Abierta "Prevención de violencia"</c:v>
                </c:pt>
              </c:strCache>
            </c:strRef>
          </c:tx>
          <c:spPr>
            <a:solidFill>
              <a:schemeClr val="accent1"/>
            </a:solidFill>
            <a:ln w="19033">
              <a:solidFill>
                <a:schemeClr val="lt1"/>
              </a:solidFill>
            </a:ln>
            <a:effectLst/>
          </c:spPr>
          <c:invertIfNegative val="0"/>
          <c:cat>
            <c:strRef>
              <c:f>Hoja1!$A$2:$A$5</c:f>
              <c:strCache>
                <c:ptCount val="4"/>
                <c:pt idx="0">
                  <c:v>Hogar</c:v>
                </c:pt>
                <c:pt idx="1">
                  <c:v>Empleada/o</c:v>
                </c:pt>
                <c:pt idx="2">
                  <c:v>No presentó</c:v>
                </c:pt>
                <c:pt idx="3">
                  <c:v>Comerciente</c:v>
                </c:pt>
              </c:strCache>
            </c:strRef>
          </c:cat>
          <c:val>
            <c:numRef>
              <c:f>Hoja1!$B$2:$B$5</c:f>
              <c:numCache>
                <c:formatCode>General</c:formatCode>
                <c:ptCount val="4"/>
                <c:pt idx="0">
                  <c:v>0</c:v>
                </c:pt>
                <c:pt idx="1">
                  <c:v>0</c:v>
                </c:pt>
                <c:pt idx="2">
                  <c:v>0</c:v>
                </c:pt>
              </c:numCache>
            </c:numRef>
          </c:val>
        </c:ser>
        <c:ser>
          <c:idx val="1"/>
          <c:order val="1"/>
          <c:tx>
            <c:strRef>
              <c:f>Hoja1!$C$1</c:f>
              <c:strCache>
                <c:ptCount val="1"/>
                <c:pt idx="0">
                  <c:v>Mujeres</c:v>
                </c:pt>
              </c:strCache>
            </c:strRef>
          </c:tx>
          <c:invertIfNegative val="0"/>
          <c:cat>
            <c:strRef>
              <c:f>Hoja1!$A$2:$A$5</c:f>
              <c:strCache>
                <c:ptCount val="4"/>
                <c:pt idx="0">
                  <c:v>Hogar</c:v>
                </c:pt>
                <c:pt idx="1">
                  <c:v>Empleada/o</c:v>
                </c:pt>
                <c:pt idx="2">
                  <c:v>No presentó</c:v>
                </c:pt>
                <c:pt idx="3">
                  <c:v>Comerciente</c:v>
                </c:pt>
              </c:strCache>
            </c:strRef>
          </c:cat>
          <c:val>
            <c:numRef>
              <c:f>Hoja1!$C$2:$C$5</c:f>
              <c:numCache>
                <c:formatCode>General</c:formatCode>
                <c:ptCount val="4"/>
                <c:pt idx="0">
                  <c:v>54</c:v>
                </c:pt>
                <c:pt idx="1">
                  <c:v>6</c:v>
                </c:pt>
                <c:pt idx="2">
                  <c:v>29</c:v>
                </c:pt>
                <c:pt idx="3">
                  <c:v>2</c:v>
                </c:pt>
              </c:numCache>
            </c:numRef>
          </c:val>
        </c:ser>
        <c:dLbls>
          <c:showLegendKey val="0"/>
          <c:showVal val="0"/>
          <c:showCatName val="0"/>
          <c:showSerName val="0"/>
          <c:showPercent val="0"/>
          <c:showBubbleSize val="0"/>
        </c:dLbls>
        <c:gapWidth val="150"/>
        <c:axId val="288829848"/>
        <c:axId val="288831416"/>
      </c:barChart>
      <c:catAx>
        <c:axId val="288829848"/>
        <c:scaling>
          <c:orientation val="minMax"/>
        </c:scaling>
        <c:delete val="0"/>
        <c:axPos val="b"/>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199" b="0" i="0" u="none" strike="noStrike" kern="1200" baseline="0">
                <a:solidFill>
                  <a:schemeClr val="tx1">
                    <a:lumMod val="65000"/>
                    <a:lumOff val="35000"/>
                  </a:schemeClr>
                </a:solidFill>
                <a:latin typeface="+mn-lt"/>
                <a:ea typeface="+mn-ea"/>
                <a:cs typeface="+mn-cs"/>
              </a:defRPr>
            </a:pPr>
            <a:endParaRPr lang="es-MX"/>
          </a:p>
        </c:txPr>
        <c:crossAx val="288831416"/>
        <c:crosses val="autoZero"/>
        <c:auto val="1"/>
        <c:lblAlgn val="ctr"/>
        <c:lblOffset val="100"/>
        <c:noMultiLvlLbl val="0"/>
      </c:catAx>
      <c:valAx>
        <c:axId val="288831416"/>
        <c:scaling>
          <c:orientation val="minMax"/>
        </c:scaling>
        <c:delete val="0"/>
        <c:axPos val="l"/>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199" b="0" i="0" u="none" strike="noStrike" kern="1200" baseline="0">
                <a:solidFill>
                  <a:schemeClr val="tx1">
                    <a:lumMod val="65000"/>
                    <a:lumOff val="35000"/>
                  </a:schemeClr>
                </a:solidFill>
                <a:latin typeface="+mn-lt"/>
                <a:ea typeface="+mn-ea"/>
                <a:cs typeface="+mn-cs"/>
              </a:defRPr>
            </a:pPr>
            <a:endParaRPr lang="es-MX"/>
          </a:p>
        </c:txPr>
        <c:crossAx val="288829848"/>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7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199"/>
      </a:pPr>
      <a:endParaRPr lang="es-MX"/>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Dependencia/Lugar Procedencia 6 talleres "Prevención de violencia"</c:v>
                </c:pt>
              </c:strCache>
            </c:strRef>
          </c:tx>
          <c:spPr>
            <a:solidFill>
              <a:srgbClr val="70AD47"/>
            </a:solidFill>
            <a:ln w="25379">
              <a:noFill/>
            </a:ln>
          </c:spPr>
          <c:invertIfNegative val="0"/>
          <c:cat>
            <c:strRef>
              <c:f>Hoja1!$A$2:$A$3</c:f>
              <c:strCache>
                <c:ptCount val="2"/>
                <c:pt idx="0">
                  <c:v>San Martín de Hidalgo</c:v>
                </c:pt>
                <c:pt idx="1">
                  <c:v>Mujeres</c:v>
                </c:pt>
              </c:strCache>
            </c:strRef>
          </c:cat>
          <c:val>
            <c:numRef>
              <c:f>Hoja1!$B$2:$B$3</c:f>
              <c:numCache>
                <c:formatCode>General</c:formatCode>
                <c:ptCount val="2"/>
                <c:pt idx="0">
                  <c:v>91</c:v>
                </c:pt>
                <c:pt idx="1">
                  <c:v>91</c:v>
                </c:pt>
              </c:numCache>
            </c:numRef>
          </c:val>
        </c:ser>
        <c:dLbls>
          <c:showLegendKey val="0"/>
          <c:showVal val="0"/>
          <c:showCatName val="0"/>
          <c:showSerName val="0"/>
          <c:showPercent val="0"/>
          <c:showBubbleSize val="0"/>
        </c:dLbls>
        <c:gapWidth val="219"/>
        <c:axId val="288831808"/>
        <c:axId val="288827888"/>
      </c:barChart>
      <c:catAx>
        <c:axId val="288831808"/>
        <c:scaling>
          <c:orientation val="minMax"/>
        </c:scaling>
        <c:delete val="0"/>
        <c:axPos val="l"/>
        <c:numFmt formatCode="General" sourceLinked="1"/>
        <c:majorTickMark val="none"/>
        <c:minorTickMark val="none"/>
        <c:tickLblPos val="nextTo"/>
        <c:spPr>
          <a:noFill/>
          <a:ln w="9517" cap="flat" cmpd="sng" algn="ctr">
            <a:solidFill>
              <a:schemeClr val="tx1">
                <a:lumMod val="15000"/>
                <a:lumOff val="85000"/>
              </a:schemeClr>
            </a:solidFill>
            <a:round/>
          </a:ln>
          <a:effectLst/>
        </c:spPr>
        <c:txPr>
          <a:bodyPr rot="-60000000" spcFirstLastPara="1" vertOverflow="ellipsis" vert="horz" wrap="square" anchor="ctr" anchorCtr="1"/>
          <a:lstStyle/>
          <a:p>
            <a:pPr>
              <a:defRPr sz="699" b="0" i="0" u="none" strike="noStrike" kern="1200" baseline="0">
                <a:solidFill>
                  <a:schemeClr val="tx1">
                    <a:lumMod val="65000"/>
                    <a:lumOff val="35000"/>
                  </a:schemeClr>
                </a:solidFill>
                <a:latin typeface="+mn-lt"/>
                <a:ea typeface="+mn-ea"/>
                <a:cs typeface="+mn-cs"/>
              </a:defRPr>
            </a:pPr>
            <a:endParaRPr lang="es-MX"/>
          </a:p>
        </c:txPr>
        <c:crossAx val="288827888"/>
        <c:crosses val="autoZero"/>
        <c:auto val="1"/>
        <c:lblAlgn val="ctr"/>
        <c:lblOffset val="100"/>
        <c:noMultiLvlLbl val="0"/>
      </c:catAx>
      <c:valAx>
        <c:axId val="288827888"/>
        <c:scaling>
          <c:orientation val="minMax"/>
        </c:scaling>
        <c:delete val="0"/>
        <c:axPos val="b"/>
        <c:majorGridlines>
          <c:spPr>
            <a:ln w="9517" cap="flat" cmpd="sng" algn="ctr">
              <a:solidFill>
                <a:schemeClr val="tx1">
                  <a:lumMod val="15000"/>
                  <a:lumOff val="85000"/>
                </a:schemeClr>
              </a:solidFill>
              <a:round/>
            </a:ln>
            <a:effectLst/>
          </c:spPr>
        </c:majorGridlines>
        <c:numFmt formatCode="General" sourceLinked="1"/>
        <c:majorTickMark val="none"/>
        <c:minorTickMark val="none"/>
        <c:tickLblPos val="nextTo"/>
        <c:spPr>
          <a:ln w="6345">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88831808"/>
        <c:crosses val="autoZero"/>
        <c:crossBetween val="between"/>
      </c:valAx>
      <c:dTable>
        <c:showHorzBorder val="1"/>
        <c:showVertBorder val="1"/>
        <c:showOutline val="1"/>
        <c:showKeys val="1"/>
        <c:spPr>
          <a:noFill/>
          <a:ln w="9517" cap="flat" cmpd="sng" algn="ctr">
            <a:solidFill>
              <a:schemeClr val="tx1">
                <a:lumMod val="15000"/>
                <a:lumOff val="85000"/>
              </a:schemeClr>
            </a:solidFill>
            <a:round/>
          </a:ln>
          <a:effectLst/>
        </c:spPr>
        <c:txPr>
          <a:bodyPr rot="0" spcFirstLastPara="1" vertOverflow="ellipsis" vert="horz" wrap="square" anchor="ctr" anchorCtr="1"/>
          <a:lstStyle/>
          <a:p>
            <a:pPr rtl="0">
              <a:defRPr sz="799" b="0" i="0" u="none" strike="noStrike" kern="1200" baseline="0">
                <a:solidFill>
                  <a:schemeClr val="tx1">
                    <a:lumMod val="65000"/>
                    <a:lumOff val="35000"/>
                  </a:schemeClr>
                </a:solidFill>
                <a:latin typeface="+mn-lt"/>
                <a:ea typeface="+mn-ea"/>
                <a:cs typeface="+mn-cs"/>
              </a:defRPr>
            </a:pPr>
            <a:endParaRPr lang="es-MX"/>
          </a:p>
        </c:txPr>
      </c:dTable>
      <c:spPr>
        <a:noFill/>
        <a:ln w="25379">
          <a:noFill/>
        </a:ln>
      </c:spPr>
    </c:plotArea>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5-D955-431D-892B-80282DD98AD2}"/>
              </c:ext>
            </c:extLst>
          </c:dPt>
          <c:cat>
            <c:strRef>
              <c:f>Hoja1!$A$2:$A$4</c:f>
              <c:strCache>
                <c:ptCount val="3"/>
                <c:pt idx="0">
                  <c:v>Jurídica</c:v>
                </c:pt>
                <c:pt idx="1">
                  <c:v>Psicológica</c:v>
                </c:pt>
                <c:pt idx="2">
                  <c:v>Trabajo Social</c:v>
                </c:pt>
              </c:strCache>
            </c:strRef>
          </c:cat>
          <c:val>
            <c:numRef>
              <c:f>Hoja1!$B$2:$B$4</c:f>
              <c:numCache>
                <c:formatCode>General</c:formatCode>
                <c:ptCount val="3"/>
                <c:pt idx="0">
                  <c:v>7</c:v>
                </c:pt>
                <c:pt idx="1">
                  <c:v>19</c:v>
                </c:pt>
                <c:pt idx="2">
                  <c:v>25</c:v>
                </c:pt>
              </c:numCache>
            </c:numRef>
          </c:val>
          <c:extLst xmlns:c16r2="http://schemas.microsoft.com/office/drawing/2015/06/char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286569928"/>
        <c:axId val="257189976"/>
      </c:barChart>
      <c:catAx>
        <c:axId val="286569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57189976"/>
        <c:crosses val="autoZero"/>
        <c:auto val="1"/>
        <c:lblAlgn val="ctr"/>
        <c:lblOffset val="100"/>
        <c:noMultiLvlLbl val="0"/>
      </c:catAx>
      <c:valAx>
        <c:axId val="257189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8656992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3</c:v>
                </c:pt>
                <c:pt idx="1">
                  <c:v>2</c:v>
                </c:pt>
                <c:pt idx="2">
                  <c:v>1</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257189192"/>
        <c:axId val="257182528"/>
      </c:barChart>
      <c:catAx>
        <c:axId val="257189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57182528"/>
        <c:crosses val="autoZero"/>
        <c:auto val="1"/>
        <c:lblAlgn val="ctr"/>
        <c:lblOffset val="100"/>
        <c:noMultiLvlLbl val="0"/>
      </c:catAx>
      <c:valAx>
        <c:axId val="257182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571891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1</c:v>
                </c:pt>
                <c:pt idx="1">
                  <c:v>7</c:v>
                </c:pt>
                <c:pt idx="2">
                  <c:v>9</c:v>
                </c:pt>
                <c:pt idx="3">
                  <c:v>3</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57184880"/>
        <c:axId val="257186056"/>
      </c:barChart>
      <c:catAx>
        <c:axId val="25718488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57186056"/>
        <c:crosses val="autoZero"/>
        <c:auto val="1"/>
        <c:lblAlgn val="ctr"/>
        <c:lblOffset val="100"/>
        <c:noMultiLvlLbl val="0"/>
      </c:catAx>
      <c:valAx>
        <c:axId val="257186056"/>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57184880"/>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3</c:v>
                </c:pt>
                <c:pt idx="1">
                  <c:v>0</c:v>
                </c:pt>
                <c:pt idx="2">
                  <c:v>1</c:v>
                </c:pt>
                <c:pt idx="3">
                  <c:v>1</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257187232"/>
        <c:axId val="257187624"/>
      </c:barChart>
      <c:catAx>
        <c:axId val="25718723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57187624"/>
        <c:crosses val="autoZero"/>
        <c:auto val="1"/>
        <c:lblAlgn val="ctr"/>
        <c:lblOffset val="100"/>
        <c:noMultiLvlLbl val="0"/>
      </c:catAx>
      <c:valAx>
        <c:axId val="25718762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257187232"/>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Hoja1!$A$2:$A$8</c:f>
              <c:strCache>
                <c:ptCount val="7"/>
                <c:pt idx="0">
                  <c:v>San Martín de Hidalgo</c:v>
                </c:pt>
                <c:pt idx="1">
                  <c:v>La Labor de Medina</c:v>
                </c:pt>
                <c:pt idx="2">
                  <c:v>San Gerónimo </c:v>
                </c:pt>
                <c:pt idx="3">
                  <c:v>Lázaro Cárdenas </c:v>
                </c:pt>
                <c:pt idx="4">
                  <c:v>Crucero de Santa María</c:v>
                </c:pt>
                <c:pt idx="5">
                  <c:v>Salitre</c:v>
                </c:pt>
                <c:pt idx="6">
                  <c:v>Los Guerrero </c:v>
                </c:pt>
              </c:strCache>
            </c:strRef>
          </c:cat>
          <c:val>
            <c:numRef>
              <c:f>Hoja1!$B$2:$B$8</c:f>
              <c:numCache>
                <c:formatCode>General</c:formatCode>
                <c:ptCount val="7"/>
                <c:pt idx="0">
                  <c:v>12</c:v>
                </c:pt>
                <c:pt idx="1">
                  <c:v>1</c:v>
                </c:pt>
                <c:pt idx="2">
                  <c:v>1</c:v>
                </c:pt>
                <c:pt idx="3">
                  <c:v>0</c:v>
                </c:pt>
                <c:pt idx="4">
                  <c:v>2</c:v>
                </c:pt>
                <c:pt idx="5">
                  <c:v>2</c:v>
                </c:pt>
                <c:pt idx="6">
                  <c:v>2</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Hoja1!$A$2:$A$8</c:f>
              <c:strCache>
                <c:ptCount val="7"/>
                <c:pt idx="0">
                  <c:v>San Martín de Hidalgo</c:v>
                </c:pt>
                <c:pt idx="1">
                  <c:v>La Labor de Medina</c:v>
                </c:pt>
                <c:pt idx="2">
                  <c:v>San Gerónimo </c:v>
                </c:pt>
                <c:pt idx="3">
                  <c:v>Lázaro Cárdenas </c:v>
                </c:pt>
                <c:pt idx="4">
                  <c:v>Crucero de Santa María</c:v>
                </c:pt>
                <c:pt idx="5">
                  <c:v>Salitre</c:v>
                </c:pt>
                <c:pt idx="6">
                  <c:v>Los Guerrero </c:v>
                </c:pt>
              </c:strCache>
            </c:strRef>
          </c:cat>
          <c:val>
            <c:numRef>
              <c:f>Hoja1!$C$2:$C$8</c:f>
              <c:numCache>
                <c:formatCode>General</c:formatCode>
                <c:ptCount val="7"/>
                <c:pt idx="0">
                  <c:v>4</c:v>
                </c:pt>
                <c:pt idx="1">
                  <c:v>0</c:v>
                </c:pt>
                <c:pt idx="2">
                  <c:v>0</c:v>
                </c:pt>
                <c:pt idx="3">
                  <c:v>1</c:v>
                </c:pt>
                <c:pt idx="4">
                  <c:v>0</c:v>
                </c:pt>
                <c:pt idx="5">
                  <c:v>0</c:v>
                </c:pt>
                <c:pt idx="6">
                  <c:v>0</c:v>
                </c:pt>
              </c:numCache>
            </c:numRef>
          </c:val>
          <c:extLst xmlns:c16r2="http://schemas.microsoft.com/office/drawing/2015/06/char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257188800"/>
        <c:axId val="257189584"/>
      </c:barChart>
      <c:catAx>
        <c:axId val="257188800"/>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57189584"/>
        <c:crosses val="autoZero"/>
        <c:auto val="1"/>
        <c:lblAlgn val="ctr"/>
        <c:lblOffset val="100"/>
        <c:noMultiLvlLbl val="0"/>
      </c:catAx>
      <c:valAx>
        <c:axId val="257189584"/>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257188800"/>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Hoja1!$A$3:$A$9</c:f>
              <c:strCache>
                <c:ptCount val="7"/>
                <c:pt idx="0">
                  <c:v>Preescolar</c:v>
                </c:pt>
                <c:pt idx="1">
                  <c:v>Primaria</c:v>
                </c:pt>
                <c:pt idx="2">
                  <c:v>Secundaria</c:v>
                </c:pt>
                <c:pt idx="3">
                  <c:v>Preparatoria</c:v>
                </c:pt>
                <c:pt idx="4">
                  <c:v>Universidad</c:v>
                </c:pt>
                <c:pt idx="5">
                  <c:v>Alfabeta</c:v>
                </c:pt>
                <c:pt idx="6">
                  <c:v>No especificó </c:v>
                </c:pt>
              </c:strCache>
            </c:strRef>
          </c:cat>
          <c:val>
            <c:numRef>
              <c:f>Hoja1!$B$3:$B$9</c:f>
              <c:numCache>
                <c:formatCode>General</c:formatCode>
                <c:ptCount val="7"/>
                <c:pt idx="0">
                  <c:v>0</c:v>
                </c:pt>
                <c:pt idx="1">
                  <c:v>5</c:v>
                </c:pt>
                <c:pt idx="2">
                  <c:v>12</c:v>
                </c:pt>
                <c:pt idx="3">
                  <c:v>1</c:v>
                </c:pt>
                <c:pt idx="4">
                  <c:v>1</c:v>
                </c:pt>
                <c:pt idx="5">
                  <c:v>0</c:v>
                </c:pt>
                <c:pt idx="6">
                  <c:v>1</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Hoja1!$A$3:$A$9</c:f>
              <c:strCache>
                <c:ptCount val="7"/>
                <c:pt idx="0">
                  <c:v>Preescolar</c:v>
                </c:pt>
                <c:pt idx="1">
                  <c:v>Primaria</c:v>
                </c:pt>
                <c:pt idx="2">
                  <c:v>Secundaria</c:v>
                </c:pt>
                <c:pt idx="3">
                  <c:v>Preparatoria</c:v>
                </c:pt>
                <c:pt idx="4">
                  <c:v>Universidad</c:v>
                </c:pt>
                <c:pt idx="5">
                  <c:v>Alfabeta</c:v>
                </c:pt>
                <c:pt idx="6">
                  <c:v>No especificó </c:v>
                </c:pt>
              </c:strCache>
            </c:strRef>
          </c:cat>
          <c:val>
            <c:numRef>
              <c:f>Hoja1!$C$3:$C$9</c:f>
              <c:numCache>
                <c:formatCode>General</c:formatCode>
                <c:ptCount val="7"/>
                <c:pt idx="0">
                  <c:v>0</c:v>
                </c:pt>
                <c:pt idx="1">
                  <c:v>2</c:v>
                </c:pt>
                <c:pt idx="2">
                  <c:v>2</c:v>
                </c:pt>
                <c:pt idx="3">
                  <c:v>1</c:v>
                </c:pt>
                <c:pt idx="4">
                  <c:v>0</c:v>
                </c:pt>
                <c:pt idx="5">
                  <c:v>0</c:v>
                </c:pt>
                <c:pt idx="6">
                  <c:v>0</c:v>
                </c:pt>
              </c:numCache>
            </c:numRef>
          </c:val>
          <c:extLst xmlns:c16r2="http://schemas.microsoft.com/office/drawing/2015/06/char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287886344"/>
        <c:axId val="287889088"/>
      </c:barChart>
      <c:catAx>
        <c:axId val="28788634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87889088"/>
        <c:crosses val="autoZero"/>
        <c:auto val="1"/>
        <c:lblAlgn val="ctr"/>
        <c:lblOffset val="100"/>
        <c:noMultiLvlLbl val="0"/>
      </c:catAx>
      <c:valAx>
        <c:axId val="287889088"/>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28788634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Hoja1!$C$2:$C$7</c:f>
              <c:numCache>
                <c:formatCode>General</c:formatCode>
                <c:ptCount val="6"/>
                <c:pt idx="0">
                  <c:v>4</c:v>
                </c:pt>
                <c:pt idx="1">
                  <c:v>8</c:v>
                </c:pt>
                <c:pt idx="2">
                  <c:v>1</c:v>
                </c:pt>
                <c:pt idx="3">
                  <c:v>1</c:v>
                </c:pt>
                <c:pt idx="4">
                  <c:v>2</c:v>
                </c:pt>
                <c:pt idx="5">
                  <c:v>4</c:v>
                </c:pt>
              </c:numCache>
            </c:numRef>
          </c:val>
          <c:extLst xmlns:c16r2="http://schemas.microsoft.com/office/drawing/2015/06/char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Desempleada/o</c:v>
                </c:pt>
                <c:pt idx="5">
                  <c:v>No especificó</c:v>
                </c:pt>
              </c:strCache>
            </c:strRef>
          </c:cat>
          <c:val>
            <c:numRef>
              <c:f>Hoja1!$D$2:$D$7</c:f>
              <c:numCache>
                <c:formatCode>General</c:formatCode>
                <c:ptCount val="6"/>
                <c:pt idx="0">
                  <c:v>0</c:v>
                </c:pt>
                <c:pt idx="1">
                  <c:v>2</c:v>
                </c:pt>
                <c:pt idx="2">
                  <c:v>0</c:v>
                </c:pt>
                <c:pt idx="3">
                  <c:v>3</c:v>
                </c:pt>
                <c:pt idx="4">
                  <c:v>0</c:v>
                </c:pt>
                <c:pt idx="5">
                  <c:v>0</c:v>
                </c:pt>
              </c:numCache>
            </c:numRef>
          </c:val>
          <c:extLst xmlns:c16r2="http://schemas.microsoft.com/office/drawing/2015/06/char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287885560"/>
        <c:axId val="287884384"/>
      </c:barChart>
      <c:catAx>
        <c:axId val="287885560"/>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287884384"/>
        <c:crosses val="autoZero"/>
        <c:auto val="1"/>
        <c:lblAlgn val="ctr"/>
        <c:lblOffset val="100"/>
        <c:noMultiLvlLbl val="0"/>
      </c:catAx>
      <c:valAx>
        <c:axId val="28788438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287885560"/>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Hoja1!$A$2:$A$7</c:f>
              <c:strCache>
                <c:ptCount val="6"/>
                <c:pt idx="0">
                  <c:v>Casado/a</c:v>
                </c:pt>
                <c:pt idx="1">
                  <c:v>Soltero/a</c:v>
                </c:pt>
                <c:pt idx="2">
                  <c:v>Divorciado/a</c:v>
                </c:pt>
                <c:pt idx="3">
                  <c:v>Unión Libre</c:v>
                </c:pt>
                <c:pt idx="4">
                  <c:v>vuida/o</c:v>
                </c:pt>
                <c:pt idx="5">
                  <c:v>No especificó</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Hoja1!$A$2:$A$7</c:f>
              <c:strCache>
                <c:ptCount val="6"/>
                <c:pt idx="0">
                  <c:v>Casado/a</c:v>
                </c:pt>
                <c:pt idx="1">
                  <c:v>Soltero/a</c:v>
                </c:pt>
                <c:pt idx="2">
                  <c:v>Divorciado/a</c:v>
                </c:pt>
                <c:pt idx="3">
                  <c:v>Unión Libre</c:v>
                </c:pt>
                <c:pt idx="4">
                  <c:v>vuida/o</c:v>
                </c:pt>
                <c:pt idx="5">
                  <c:v>No especificó</c:v>
                </c:pt>
              </c:strCache>
            </c:strRef>
          </c:cat>
          <c:val>
            <c:numRef>
              <c:f>Hoja1!$C$2:$C$7</c:f>
              <c:numCache>
                <c:formatCode>General</c:formatCode>
                <c:ptCount val="6"/>
                <c:pt idx="0">
                  <c:v>7</c:v>
                </c:pt>
                <c:pt idx="1">
                  <c:v>7</c:v>
                </c:pt>
                <c:pt idx="2">
                  <c:v>0</c:v>
                </c:pt>
                <c:pt idx="3">
                  <c:v>5</c:v>
                </c:pt>
                <c:pt idx="4">
                  <c:v>0</c:v>
                </c:pt>
                <c:pt idx="5">
                  <c:v>1</c:v>
                </c:pt>
              </c:numCache>
            </c:numRef>
          </c:val>
          <c:extLst xmlns:c16r2="http://schemas.microsoft.com/office/drawing/2015/06/char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Hoja1!$A$2:$A$7</c:f>
              <c:strCache>
                <c:ptCount val="6"/>
                <c:pt idx="0">
                  <c:v>Casado/a</c:v>
                </c:pt>
                <c:pt idx="1">
                  <c:v>Soltero/a</c:v>
                </c:pt>
                <c:pt idx="2">
                  <c:v>Divorciado/a</c:v>
                </c:pt>
                <c:pt idx="3">
                  <c:v>Unión Libre</c:v>
                </c:pt>
                <c:pt idx="4">
                  <c:v>vuida/o</c:v>
                </c:pt>
                <c:pt idx="5">
                  <c:v>No especificó</c:v>
                </c:pt>
              </c:strCache>
            </c:strRef>
          </c:cat>
          <c:val>
            <c:numRef>
              <c:f>Hoja1!$D$2:$D$7</c:f>
              <c:numCache>
                <c:formatCode>General</c:formatCode>
                <c:ptCount val="6"/>
                <c:pt idx="0">
                  <c:v>1</c:v>
                </c:pt>
                <c:pt idx="1">
                  <c:v>3</c:v>
                </c:pt>
                <c:pt idx="2">
                  <c:v>0</c:v>
                </c:pt>
                <c:pt idx="3">
                  <c:v>0</c:v>
                </c:pt>
                <c:pt idx="4">
                  <c:v>1</c:v>
                </c:pt>
                <c:pt idx="5">
                  <c:v>0</c:v>
                </c:pt>
              </c:numCache>
            </c:numRef>
          </c:val>
          <c:extLst xmlns:c16r2="http://schemas.microsoft.com/office/drawing/2015/06/char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287882816"/>
        <c:axId val="287883208"/>
      </c:barChart>
      <c:catAx>
        <c:axId val="287882816"/>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87883208"/>
        <c:crosses val="autoZero"/>
        <c:auto val="1"/>
        <c:lblAlgn val="ctr"/>
        <c:lblOffset val="100"/>
        <c:noMultiLvlLbl val="0"/>
      </c:catAx>
      <c:valAx>
        <c:axId val="287883208"/>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87882816"/>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A0360-4A14-4D48-86A7-F864152ED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16</Pages>
  <Words>1424</Words>
  <Characters>7836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Cristina Zárate Magallanes</cp:lastModifiedBy>
  <cp:revision>108</cp:revision>
  <dcterms:created xsi:type="dcterms:W3CDTF">2018-08-30T17:49:00Z</dcterms:created>
  <dcterms:modified xsi:type="dcterms:W3CDTF">2019-01-27T06:12:00Z</dcterms:modified>
</cp:coreProperties>
</file>